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B46C59" w:rsidP="00D4005B">
      <w:pPr>
        <w:pStyle w:val="Bezatstarpm"/>
        <w:jc w:val="right"/>
        <w:rPr>
          <w:rFonts w:ascii="Times New Roman" w:hAnsi="Times New Roman" w:cs="Times New Roman"/>
          <w:sz w:val="24"/>
          <w:szCs w:val="24"/>
        </w:rPr>
      </w:pPr>
      <w:r>
        <w:rPr>
          <w:rFonts w:ascii="Times New Roman" w:hAnsi="Times New Roman" w:cs="Times New Roman"/>
          <w:sz w:val="24"/>
          <w:szCs w:val="24"/>
        </w:rPr>
        <w:t>4</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484E82">
        <w:rPr>
          <w:rFonts w:eastAsiaTheme="minorHAnsi"/>
          <w:color w:val="auto"/>
          <w:sz w:val="24"/>
          <w:szCs w:val="24"/>
        </w:rPr>
        <w:t>„</w:t>
      </w:r>
      <w:r w:rsidR="000361EB">
        <w:rPr>
          <w:rFonts w:eastAsiaTheme="minorHAnsi"/>
          <w:color w:val="auto"/>
          <w:sz w:val="24"/>
          <w:szCs w:val="24"/>
        </w:rPr>
        <w:t>Pakalpojumu koordinācijas un informācijas centra imigrantu atbalstam darbības nodrošināšana</w:t>
      </w:r>
      <w:r w:rsidR="00F14B82">
        <w:rPr>
          <w:rFonts w:eastAsiaTheme="minorHAnsi"/>
          <w:color w:val="auto"/>
          <w:sz w:val="24"/>
          <w:szCs w:val="24"/>
        </w:rPr>
        <w:t xml:space="preserve"> (3.posms)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DD48FF" w:rsidRPr="00DD48FF">
        <w:rPr>
          <w:rFonts w:ascii="Times New Roman" w:eastAsia="Times New Roman" w:hAnsi="Times New Roman" w:cs="Times New Roman"/>
          <w:b/>
          <w:bCs/>
          <w:sz w:val="28"/>
          <w:szCs w:val="28"/>
          <w:lang w:eastAsia="lv-LV"/>
        </w:rPr>
        <w:t>Pakalpojumu koordinācijas un informācijas centra imigrantu atbalstam darbības nodrošināšana (3.posms)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w:t>
            </w:r>
            <w:r w:rsidRPr="00925627">
              <w:rPr>
                <w:rFonts w:ascii="Times New Roman" w:eastAsia="Times New Roman" w:hAnsi="Times New Roman" w:cs="Times New Roman"/>
                <w:sz w:val="24"/>
                <w:szCs w:val="24"/>
                <w:lang w:eastAsia="lv-LV"/>
              </w:rPr>
              <w:lastRenderedPageBreak/>
              <w:t xml:space="preserve">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un integrācijas fonda finansējuma un valsts </w:t>
            </w:r>
            <w:r w:rsidRPr="00925627">
              <w:rPr>
                <w:rFonts w:ascii="Times New Roman" w:eastAsia="Times New Roman" w:hAnsi="Times New Roman" w:cs="Times New Roman"/>
                <w:sz w:val="24"/>
                <w:szCs w:val="24"/>
                <w:lang w:eastAsia="lv-LV"/>
              </w:rPr>
              <w:lastRenderedPageBreak/>
              <w:t>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D92EDE"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DD48F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361EB"/>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2EDE"/>
    <w:rsid w:val="00D96273"/>
    <w:rsid w:val="00D96F08"/>
    <w:rsid w:val="00DA37AB"/>
    <w:rsid w:val="00DA5E84"/>
    <w:rsid w:val="00DA6F9D"/>
    <w:rsid w:val="00DA70DB"/>
    <w:rsid w:val="00DB58A7"/>
    <w:rsid w:val="00DC0D63"/>
    <w:rsid w:val="00DC1083"/>
    <w:rsid w:val="00DC1757"/>
    <w:rsid w:val="00DD48FF"/>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E4336"/>
    <w:rsid w:val="00EE7D85"/>
    <w:rsid w:val="00EF1980"/>
    <w:rsid w:val="00EF1E93"/>
    <w:rsid w:val="00EF7946"/>
    <w:rsid w:val="00F00000"/>
    <w:rsid w:val="00F00D3B"/>
    <w:rsid w:val="00F030F1"/>
    <w:rsid w:val="00F03F4A"/>
    <w:rsid w:val="00F14B82"/>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9BCB8-D4E7-4343-A8DA-75709923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6098</Words>
  <Characters>3477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LieneU</cp:lastModifiedBy>
  <cp:revision>3</cp:revision>
  <cp:lastPrinted>2016-01-08T09:21:00Z</cp:lastPrinted>
  <dcterms:created xsi:type="dcterms:W3CDTF">2020-04-01T12:44:00Z</dcterms:created>
  <dcterms:modified xsi:type="dcterms:W3CDTF">2020-04-01T13:01:00Z</dcterms:modified>
</cp:coreProperties>
</file>