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A3" w:rsidRPr="00483357" w:rsidRDefault="002C6CA3" w:rsidP="00956ABE">
      <w:pPr>
        <w:pStyle w:val="Kjene"/>
        <w:jc w:val="center"/>
        <w:rPr>
          <w:rFonts w:ascii="Times New Roman" w:hAnsi="Times New Roman" w:cs="Times New Roman"/>
          <w:b/>
          <w:color w:val="000000" w:themeColor="text1"/>
          <w:sz w:val="28"/>
          <w:szCs w:val="28"/>
        </w:rPr>
      </w:pPr>
      <w:r w:rsidRPr="00483357">
        <w:rPr>
          <w:rFonts w:ascii="Times New Roman" w:hAnsi="Times New Roman" w:cs="Times New Roman"/>
          <w:b/>
          <w:color w:val="000000" w:themeColor="text1"/>
          <w:sz w:val="28"/>
          <w:szCs w:val="28"/>
        </w:rPr>
        <w:t xml:space="preserve">Ministru kabineta noteikumu projekta </w:t>
      </w:r>
    </w:p>
    <w:p w:rsidR="00D521A4" w:rsidRPr="00483357" w:rsidRDefault="002C6CA3">
      <w:pPr>
        <w:pStyle w:val="Default"/>
        <w:jc w:val="center"/>
        <w:rPr>
          <w:b/>
          <w:color w:val="000000" w:themeColor="text1"/>
          <w:sz w:val="28"/>
          <w:szCs w:val="28"/>
        </w:rPr>
      </w:pPr>
      <w:r w:rsidRPr="00483357">
        <w:rPr>
          <w:b/>
          <w:color w:val="000000" w:themeColor="text1"/>
          <w:sz w:val="28"/>
          <w:szCs w:val="28"/>
        </w:rPr>
        <w:t xml:space="preserve">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w:t>
      </w:r>
      <w:r w:rsidR="00A65172" w:rsidRPr="00483357">
        <w:rPr>
          <w:b/>
          <w:color w:val="000000" w:themeColor="text1"/>
          <w:sz w:val="28"/>
          <w:szCs w:val="28"/>
        </w:rPr>
        <w:t xml:space="preserve"> ceturtās</w:t>
      </w:r>
      <w:r w:rsidRPr="00483357">
        <w:rPr>
          <w:b/>
          <w:color w:val="000000" w:themeColor="text1"/>
          <w:sz w:val="28"/>
          <w:szCs w:val="28"/>
        </w:rPr>
        <w:t xml:space="preserve"> projektu iesniegumu atlases kārtas „</w:t>
      </w:r>
      <w:r w:rsidR="00A65172" w:rsidRPr="00483357">
        <w:rPr>
          <w:b/>
          <w:color w:val="000000" w:themeColor="text1"/>
          <w:sz w:val="28"/>
          <w:szCs w:val="28"/>
        </w:rPr>
        <w:t xml:space="preserve">Kultūras mantojuma saglabāšana, atjaunošana un ar to saistītās infrastruktūras attīstība Rīgas vēsturiskā centra teritorijā” </w:t>
      </w:r>
      <w:r w:rsidRPr="00483357">
        <w:rPr>
          <w:b/>
          <w:color w:val="000000" w:themeColor="text1"/>
          <w:sz w:val="28"/>
          <w:szCs w:val="28"/>
        </w:rPr>
        <w:t xml:space="preserve">īstenošanas noteikumi”” sākotnējās ietekmes novērtējuma </w:t>
      </w:r>
    </w:p>
    <w:p w:rsidR="00D521A4" w:rsidRPr="00483357" w:rsidRDefault="002C6CA3">
      <w:pPr>
        <w:pStyle w:val="Default"/>
        <w:jc w:val="center"/>
        <w:rPr>
          <w:b/>
          <w:color w:val="000000" w:themeColor="text1"/>
          <w:sz w:val="28"/>
          <w:szCs w:val="28"/>
        </w:rPr>
      </w:pPr>
      <w:r w:rsidRPr="00483357">
        <w:rPr>
          <w:b/>
          <w:color w:val="000000" w:themeColor="text1"/>
          <w:sz w:val="28"/>
          <w:szCs w:val="28"/>
        </w:rPr>
        <w:t>ziņojums (anotācija)</w:t>
      </w:r>
    </w:p>
    <w:p w:rsidR="00D521A4" w:rsidRPr="00483357" w:rsidRDefault="00D521A4">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61"/>
        <w:gridCol w:w="5460"/>
      </w:tblGrid>
      <w:tr w:rsidR="00E5323B" w:rsidRPr="0048335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521A4" w:rsidRPr="00483357" w:rsidRDefault="00E5323B">
            <w:pPr>
              <w:spacing w:after="0" w:line="240" w:lineRule="auto"/>
              <w:jc w:val="center"/>
              <w:rPr>
                <w:rFonts w:ascii="Times New Roman" w:eastAsia="Times New Roman" w:hAnsi="Times New Roman" w:cs="Times New Roman"/>
                <w:b/>
                <w:bCs/>
                <w:iCs/>
                <w:sz w:val="28"/>
                <w:szCs w:val="28"/>
                <w:lang w:eastAsia="lv-LV"/>
              </w:rPr>
            </w:pPr>
            <w:r w:rsidRPr="00483357">
              <w:rPr>
                <w:rFonts w:ascii="Times New Roman" w:eastAsia="Times New Roman" w:hAnsi="Times New Roman" w:cs="Times New Roman"/>
                <w:b/>
                <w:bCs/>
                <w:iCs/>
                <w:sz w:val="28"/>
                <w:szCs w:val="28"/>
                <w:lang w:eastAsia="lv-LV"/>
              </w:rPr>
              <w:t>Tiesību akta projekta anotācijas kopsavilkums</w:t>
            </w:r>
          </w:p>
        </w:tc>
      </w:tr>
      <w:tr w:rsidR="009E2E69" w:rsidRPr="00483357" w:rsidTr="00FF3A09">
        <w:trPr>
          <w:trHeight w:val="224"/>
          <w:tblCellSpacing w:w="15" w:type="dxa"/>
        </w:trPr>
        <w:tc>
          <w:tcPr>
            <w:tcW w:w="2015" w:type="pct"/>
            <w:tcBorders>
              <w:top w:val="outset" w:sz="6" w:space="0" w:color="auto"/>
              <w:left w:val="outset" w:sz="6" w:space="0" w:color="auto"/>
              <w:bottom w:val="outset" w:sz="6" w:space="0" w:color="auto"/>
              <w:right w:val="outset" w:sz="6" w:space="0" w:color="auto"/>
            </w:tcBorders>
            <w:hideMark/>
          </w:tcPr>
          <w:p w:rsidR="009E2E69" w:rsidRPr="00483357" w:rsidRDefault="009E2E69" w:rsidP="00956ABE">
            <w:pPr>
              <w:spacing w:after="0" w:line="240" w:lineRule="auto"/>
              <w:rPr>
                <w:rFonts w:ascii="Times New Roman" w:hAnsi="Times New Roman" w:cs="Times New Roman"/>
                <w:iCs/>
                <w:sz w:val="28"/>
                <w:szCs w:val="28"/>
                <w:lang w:val="sv-SE"/>
              </w:rPr>
            </w:pPr>
            <w:r w:rsidRPr="00483357">
              <w:rPr>
                <w:rFonts w:ascii="Times New Roman" w:hAnsi="Times New Roman" w:cs="Times New Roman"/>
                <w:iCs/>
                <w:sz w:val="28"/>
                <w:szCs w:val="28"/>
                <w:lang w:val="sv-SE"/>
              </w:rPr>
              <w:t>Mērķis, risinājums un projekta spēkā stāšanās laiks (500 zīmes bez atstarpēm)</w:t>
            </w:r>
          </w:p>
        </w:tc>
        <w:tc>
          <w:tcPr>
            <w:tcW w:w="2936" w:type="pct"/>
            <w:tcBorders>
              <w:top w:val="outset" w:sz="6" w:space="0" w:color="auto"/>
              <w:left w:val="outset" w:sz="6" w:space="0" w:color="auto"/>
              <w:bottom w:val="outset" w:sz="6" w:space="0" w:color="auto"/>
              <w:right w:val="outset" w:sz="6" w:space="0" w:color="auto"/>
            </w:tcBorders>
            <w:hideMark/>
          </w:tcPr>
          <w:p w:rsidR="00D521A4" w:rsidRPr="00483357" w:rsidRDefault="00C8046B">
            <w:pPr>
              <w:pStyle w:val="Default"/>
              <w:ind w:firstLine="567"/>
              <w:jc w:val="both"/>
              <w:rPr>
                <w:rFonts w:eastAsia="Times New Roman"/>
                <w:iCs/>
                <w:color w:val="auto"/>
                <w:sz w:val="28"/>
                <w:szCs w:val="28"/>
                <w:lang w:eastAsia="lv-LV"/>
              </w:rPr>
            </w:pPr>
            <w:r>
              <w:rPr>
                <w:rFonts w:eastAsia="Times New Roman"/>
                <w:iCs/>
                <w:color w:val="auto"/>
                <w:sz w:val="28"/>
                <w:szCs w:val="28"/>
                <w:lang w:eastAsia="lv-LV"/>
              </w:rPr>
              <w:t xml:space="preserve">Ministru kabineta noteikumu projekta „Darbības programmas „Izaugsme un nodarbinātība” (turpmāk – darbības programma) prioritārā virziena „Vides aizsardzības un resursu izmantošanas efektivitāte” 5.5.1.specifiskā atbalsta mērķa „Saglabāt, aizsargāt un attīstīt nozīmīgu kultūras un dabas mantojumu, kā arī attīstīt ar to saistītos pakalpojumus” ceturtās projektu iesniegumu atlases kārtas „Kultūras mantojuma saglabāšana, atjaunošana un ar to saistītās infrastruktūras attīstība Rīgas vēsturiskā centra teritorijā” īstenošanas noteikumi”” (turpmāk – Noteikumu projekts) mērķis ir nodrošināt 5.5.1.specifiskā atbalsta mērķa „Saglabāt, aizsargāt un attīstīt nozīmīgu kultūras un dabas mantojumu, kā arī attīstīt ar to saistītos pakalpojumus” (turpmāk – 5.5.1.SAM) ceturtās projektu iesniegumu atlases kārtas „Kultūras mantojuma saglabāšana, atjaunošana un ar to saistītās infrastruktūras attīstība Rīgas vēsturiskā centra teritorijā” (turpmāk – ceturtā atlases kārta) īstenošanas uzsākšanu. </w:t>
            </w:r>
          </w:p>
          <w:p w:rsidR="00D521A4" w:rsidRPr="00483357" w:rsidRDefault="00C8046B">
            <w:pPr>
              <w:pStyle w:val="Default"/>
              <w:ind w:firstLine="567"/>
              <w:jc w:val="both"/>
              <w:rPr>
                <w:rFonts w:eastAsia="Times New Roman"/>
                <w:iCs/>
                <w:sz w:val="28"/>
                <w:szCs w:val="28"/>
                <w:lang w:eastAsia="lv-LV"/>
              </w:rPr>
            </w:pPr>
            <w:r>
              <w:rPr>
                <w:rFonts w:eastAsia="Times New Roman"/>
                <w:iCs/>
                <w:sz w:val="28"/>
                <w:szCs w:val="28"/>
                <w:lang w:eastAsia="lv-LV"/>
              </w:rPr>
              <w:t>Ministru kabineta noteikumi stāsies spēkā nākamajā dienā pēc to izsludināšanas oficiālajā izdevumā „Latvijas Vēstnesis”.</w:t>
            </w:r>
          </w:p>
        </w:tc>
      </w:tr>
    </w:tbl>
    <w:p w:rsidR="006C2D2D" w:rsidRPr="00483357" w:rsidRDefault="00E5323B" w:rsidP="00956ABE">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35"/>
        <w:gridCol w:w="3126"/>
        <w:gridCol w:w="5460"/>
      </w:tblGrid>
      <w:tr w:rsidR="00E5323B" w:rsidRPr="00483357" w:rsidTr="00EE3F6D">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rsidR="00D521A4" w:rsidRPr="00483357" w:rsidRDefault="00C8046B">
            <w:pPr>
              <w:spacing w:after="0" w:line="240" w:lineRule="auto"/>
              <w:jc w:val="center"/>
              <w:rPr>
                <w:rFonts w:ascii="Times New Roman" w:eastAsia="Times New Roman" w:hAnsi="Times New Roman" w:cs="Times New Roman"/>
                <w:b/>
                <w:bCs/>
                <w:iCs/>
                <w:sz w:val="28"/>
                <w:szCs w:val="28"/>
                <w:lang w:eastAsia="lv-LV"/>
              </w:rPr>
            </w:pPr>
            <w:r>
              <w:rPr>
                <w:rFonts w:ascii="Times New Roman" w:eastAsia="Times New Roman" w:hAnsi="Times New Roman" w:cs="Times New Roman"/>
                <w:b/>
                <w:bCs/>
                <w:iCs/>
                <w:sz w:val="28"/>
                <w:szCs w:val="28"/>
                <w:lang w:eastAsia="lv-LV"/>
              </w:rPr>
              <w:t>I. Tiesību akta projekta izstrādes nepieciešamība</w:t>
            </w:r>
          </w:p>
        </w:tc>
      </w:tr>
      <w:tr w:rsidR="00E5323B" w:rsidRPr="00483357" w:rsidTr="00B27E69">
        <w:trPr>
          <w:tblCellSpacing w:w="15" w:type="dxa"/>
        </w:trPr>
        <w:tc>
          <w:tcPr>
            <w:tcW w:w="590" w:type="dxa"/>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w:t>
            </w:r>
          </w:p>
        </w:tc>
        <w:tc>
          <w:tcPr>
            <w:tcW w:w="3096" w:type="dxa"/>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Pamatojums</w:t>
            </w:r>
          </w:p>
        </w:tc>
        <w:tc>
          <w:tcPr>
            <w:tcW w:w="5415" w:type="dxa"/>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Noteikumu projekts sagatavots, pamatojoties uz:</w:t>
            </w:r>
          </w:p>
          <w:p w:rsidR="00D521A4" w:rsidRPr="00483357" w:rsidRDefault="00C8046B" w:rsidP="00D521A4">
            <w:pPr>
              <w:pStyle w:val="Sarakstarindkopa"/>
              <w:numPr>
                <w:ilvl w:val="0"/>
                <w:numId w:val="16"/>
              </w:numPr>
              <w:spacing w:after="0" w:line="240" w:lineRule="auto"/>
              <w:ind w:left="357" w:hanging="357"/>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Eiropas Savienības struktūrfondu un </w:t>
            </w:r>
            <w:r>
              <w:rPr>
                <w:rFonts w:ascii="Times New Roman" w:eastAsia="Times New Roman" w:hAnsi="Times New Roman" w:cs="Times New Roman"/>
                <w:sz w:val="28"/>
                <w:szCs w:val="28"/>
                <w:lang w:eastAsia="lv-LV"/>
              </w:rPr>
              <w:lastRenderedPageBreak/>
              <w:t>Kohēzijas fonda 2014. – 2020.gada plānošanas perioda vadības likuma 20.panta 6. un 13.punktu;</w:t>
            </w:r>
          </w:p>
          <w:p w:rsidR="008A0D5B" w:rsidRPr="00483357" w:rsidRDefault="00C8046B" w:rsidP="008A0D5B">
            <w:pPr>
              <w:pStyle w:val="Sarakstarindkopa"/>
              <w:numPr>
                <w:ilvl w:val="0"/>
                <w:numId w:val="16"/>
              </w:numPr>
              <w:spacing w:after="0" w:line="240" w:lineRule="auto"/>
              <w:ind w:left="357" w:hanging="357"/>
              <w:jc w:val="both"/>
              <w:rPr>
                <w:rFonts w:ascii="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Ministru kabineta 2019.gada 11.oktobra sēdes protokollēmuma (prot. Nr.47 3.§) „Informatīvais ziņojums „Par Eiropas Savienības struktūrfondu un Kohēzijas fonda 2014. – 2020.gada plānošanas perioda darbības programmas „Izaugsme un nodarbinātība” snieguma ietvarā noteikto mērķu sasniegšanas progresu un snieguma rezerves finansējuma tālāku izmantošanu” (turpmāk – protokollēmums Nr.47) </w:t>
            </w:r>
            <w:r>
              <w:rPr>
                <w:rFonts w:ascii="Times New Roman" w:hAnsi="Times New Roman" w:cs="Times New Roman"/>
                <w:sz w:val="28"/>
                <w:szCs w:val="28"/>
              </w:rPr>
              <w:t xml:space="preserve">9.2.apakšpunktu, kas paredz </w:t>
            </w:r>
            <w:r>
              <w:rPr>
                <w:rFonts w:ascii="Times New Roman" w:hAnsi="Times New Roman" w:cs="Times New Roman"/>
                <w:iCs/>
                <w:sz w:val="28"/>
                <w:szCs w:val="28"/>
              </w:rPr>
              <w:t xml:space="preserve">Eiropas Savienības struktūrfondu un Kohēzijas fonda (turpmāk – </w:t>
            </w:r>
            <w:r>
              <w:rPr>
                <w:rFonts w:ascii="Times New Roman" w:hAnsi="Times New Roman" w:cs="Times New Roman"/>
                <w:sz w:val="28"/>
                <w:szCs w:val="28"/>
              </w:rPr>
              <w:t xml:space="preserve">ES fondi) atbildīgajām iestādēm, kuru pārziņā esošo specifisko atbalsta mērķu/pasākumu finansējuma pārdaļu risinājums atbilstoši informatīvā ziņojuma „Par Eiropas Savienības struktūrfondu un Kohēzijas fonda 2014. – 2020.gada plānošanas perioda darbības programmas „Izaugsme un nodarbinātība” snieguma ietvarā noteikto mērķu sasniegšanas progresu un snieguma rezerves finansējuma tālāku izmantošanu” (turpmāk – Informatīvais ziņojums) 1.pielikumam „Snieguma rezerves finansējuma un finansējuma atlikumu novirzīšanas priekšlikumi” paredz izmaiņas Ministru kabineta noteikumos par specifisko atbalsta mērķu vai pasākumu īstenošanu, iespējami īsā laikā sagatavot un noteiktā kārtībā iesniegt apstiprināšanai Ministru kabinetā attiecīgus grozījumus normatīvajos aktos, atbilstoši aktuālajam specifisko atbalsta mērķu vai pasākumu finanšu pārdaļu risinājumam. Centrālajai finanšu un līgumu aģentūrai kā ES fondu sadarbības iestādei nodrošināt, ka iesniegtos projektu iesniegumus pirms apstiprināšanas, kā arī grozījumus līgumos vai vienošanās par projektu īstenošanu, kas saistīti ar šajā punktā minētajām finansējuma pārdalēm, </w:t>
            </w:r>
            <w:r>
              <w:rPr>
                <w:rFonts w:ascii="Times New Roman" w:hAnsi="Times New Roman" w:cs="Times New Roman"/>
                <w:sz w:val="28"/>
                <w:szCs w:val="28"/>
              </w:rPr>
              <w:lastRenderedPageBreak/>
              <w:t>saskaņo ar attiecīgo ES fondu atbildīgo iestādi;</w:t>
            </w:r>
          </w:p>
          <w:p w:rsidR="00D521A4" w:rsidRPr="00483357" w:rsidRDefault="00C8046B" w:rsidP="00D521A4">
            <w:pPr>
              <w:pStyle w:val="Sarakstarindkopa"/>
              <w:numPr>
                <w:ilvl w:val="0"/>
                <w:numId w:val="16"/>
              </w:numPr>
              <w:spacing w:after="0" w:line="240" w:lineRule="auto"/>
              <w:ind w:left="357" w:hanging="357"/>
              <w:jc w:val="both"/>
              <w:rPr>
                <w:rFonts w:ascii="Times New Roman" w:eastAsia="Times New Roman" w:hAnsi="Times New Roman" w:cs="Times New Roman"/>
                <w:sz w:val="28"/>
                <w:szCs w:val="28"/>
                <w:lang w:eastAsia="lv-LV"/>
              </w:rPr>
            </w:pPr>
            <w:r>
              <w:rPr>
                <w:rFonts w:ascii="Times New Roman" w:hAnsi="Times New Roman" w:cs="Times New Roman"/>
                <w:sz w:val="28"/>
                <w:szCs w:val="28"/>
              </w:rPr>
              <w:t>Ministru kabineta 2019.gada 17.decembra noteikumiem Nr.676 „Grozījumi Ministru kabineta 2017.gada 24.oktobra noteikumos Nr.635 „Darbības programmas „Izaugsme un nodarbinātība” prioritārā virziena „Vides aizsardzības un resursu izmantošanas efektivitāte” 5.5.1. 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w:t>
            </w:r>
          </w:p>
        </w:tc>
      </w:tr>
      <w:tr w:rsidR="00E5323B" w:rsidRPr="00483357" w:rsidTr="00B27E69">
        <w:trPr>
          <w:tblCellSpacing w:w="15" w:type="dxa"/>
        </w:trPr>
        <w:tc>
          <w:tcPr>
            <w:tcW w:w="590" w:type="dxa"/>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lastRenderedPageBreak/>
              <w:t>2.</w:t>
            </w:r>
          </w:p>
        </w:tc>
        <w:tc>
          <w:tcPr>
            <w:tcW w:w="3096" w:type="dxa"/>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tc>
        <w:tc>
          <w:tcPr>
            <w:tcW w:w="5415" w:type="dxa"/>
            <w:tcBorders>
              <w:top w:val="outset" w:sz="6" w:space="0" w:color="auto"/>
              <w:left w:val="outset" w:sz="6" w:space="0" w:color="auto"/>
              <w:bottom w:val="outset" w:sz="6" w:space="0" w:color="auto"/>
              <w:right w:val="outset" w:sz="6" w:space="0" w:color="auto"/>
            </w:tcBorders>
            <w:hideMark/>
          </w:tcPr>
          <w:p w:rsidR="00D521A4" w:rsidRPr="00483357" w:rsidRDefault="00C8046B">
            <w:pPr>
              <w:autoSpaceDE w:val="0"/>
              <w:autoSpaceDN w:val="0"/>
              <w:spacing w:after="0" w:line="240" w:lineRule="auto"/>
              <w:ind w:firstLine="649"/>
              <w:jc w:val="both"/>
              <w:rPr>
                <w:rFonts w:ascii="Times New Roman" w:hAnsi="Times New Roman" w:cs="Times New Roman"/>
                <w:sz w:val="28"/>
                <w:szCs w:val="28"/>
                <w:shd w:val="clear" w:color="auto" w:fill="FFFFFF"/>
              </w:rPr>
            </w:pPr>
            <w:r>
              <w:rPr>
                <w:rFonts w:ascii="Times New Roman" w:hAnsi="Times New Roman" w:cs="Times New Roman"/>
                <w:bCs/>
                <w:color w:val="000000"/>
                <w:sz w:val="28"/>
                <w:szCs w:val="28"/>
              </w:rPr>
              <w:t>Eiropas Komisija 2014.gada 20.jūnijā apstiprināja Partnerības līgumu, kas nosaka, ka, v</w:t>
            </w:r>
            <w:r>
              <w:rPr>
                <w:rStyle w:val="BodyText2"/>
                <w:rFonts w:eastAsia="Calibri"/>
                <w:sz w:val="28"/>
                <w:szCs w:val="28"/>
              </w:rPr>
              <w:t xml:space="preserve">eicot investīcijas saskaņā ar Tūrisma attīstības pamatnostādnēm 2014. – 2020.gadam, stratēģijas „Latvija 2030” telpiskās attīstības perspektīvu, Kultūrpolitikas pamatnostādnēm 2014. – 2020.gadam „Radošā Latvija” un Reģionālās politikas pamatnostādnēm 2013. – 2019.gadam un pašvaldību integrētās attīstības programmām, tiks veicināta starptautiski nozīmīga kultūras un dabas mantojuma līdzsvarota attīstība un to izmantošana kā resurss uzņēmējdarbībai un reģionālajai attīstībai, radot jaunas darba vietas atbalstāmajās teritorijās. Veicot investīcijas uz pašvaldību integrētām attīstības programmām balstīta nacionāli un starptautiski nozīmīga kultūras un dabas mantojuma objektu attīstībā un infrastruktūras attīstīšanā, kā arī ar kultūras mantojuma izmantošanu saistīto pakalpojumu attīstībā, tiks rastas jaunas funkcijas pašlaik nepietiekami izmantotiem kultūras un dabas objektiem, attīstot ilgtspējīgus tūrisma produktus un pakalpojumus. Kultūras un dabas mantojuma objektu attīstība veicinās arī tūrisma pakalpojumu piedāvājumu ārpus aktīvākās tūrisma sezonas, palielinot to ceļotāju skaitu, kas Latvijā uzturas vairākas </w:t>
            </w:r>
            <w:r>
              <w:rPr>
                <w:rStyle w:val="BodyText2"/>
                <w:rFonts w:eastAsia="Calibri"/>
                <w:sz w:val="28"/>
                <w:szCs w:val="28"/>
              </w:rPr>
              <w:lastRenderedPageBreak/>
              <w:t>diennaktis, tādējādi mazinot sezonalitātes efektu, tai skaitā Baltijas jūras piekrastē.</w:t>
            </w:r>
          </w:p>
          <w:p w:rsidR="00D521A4" w:rsidRPr="00483357" w:rsidRDefault="00C8046B">
            <w:pPr>
              <w:autoSpaceDE w:val="0"/>
              <w:autoSpaceDN w:val="0"/>
              <w:spacing w:after="0" w:line="240" w:lineRule="auto"/>
              <w:ind w:firstLine="649"/>
              <w:jc w:val="both"/>
              <w:rPr>
                <w:rFonts w:ascii="Times New Roman" w:hAnsi="Times New Roman" w:cs="Times New Roman"/>
                <w:color w:val="000000"/>
                <w:sz w:val="28"/>
                <w:szCs w:val="28"/>
              </w:rPr>
            </w:pPr>
            <w:r w:rsidRPr="00C8046B">
              <w:rPr>
                <w:rFonts w:ascii="Times New Roman" w:hAnsi="Times New Roman" w:cs="Times New Roman"/>
                <w:color w:val="000000"/>
                <w:sz w:val="28"/>
                <w:szCs w:val="28"/>
              </w:rPr>
              <w:t xml:space="preserve">Eiropas Komisija 2014.gada 11.novembrī apstiprināja Latvijas izstrādāto darbības programmu. </w:t>
            </w:r>
          </w:p>
          <w:p w:rsidR="00D521A4" w:rsidRPr="00483357" w:rsidRDefault="00C8046B">
            <w:pPr>
              <w:pStyle w:val="Bodytext40"/>
              <w:shd w:val="clear" w:color="auto" w:fill="auto"/>
              <w:tabs>
                <w:tab w:val="left" w:pos="586"/>
              </w:tabs>
              <w:spacing w:line="240" w:lineRule="auto"/>
              <w:ind w:firstLine="646"/>
              <w:rPr>
                <w:rFonts w:cs="Times New Roman"/>
                <w:sz w:val="28"/>
                <w:szCs w:val="28"/>
              </w:rPr>
            </w:pPr>
            <w:r w:rsidRPr="00C8046B">
              <w:rPr>
                <w:rFonts w:cs="Times New Roman"/>
                <w:color w:val="000000"/>
                <w:sz w:val="28"/>
                <w:szCs w:val="28"/>
              </w:rPr>
              <w:t xml:space="preserve">Saskaņā ar darbības programmā noteiktajām investīcijām </w:t>
            </w:r>
            <w:r w:rsidRPr="00C8046B">
              <w:rPr>
                <w:rFonts w:cs="Times New Roman"/>
                <w:sz w:val="28"/>
                <w:szCs w:val="28"/>
              </w:rPr>
              <w:t>darbības programmas prioritārā virziena „Vides aizsardzības un resursu izmantošanas efektivitāte” 5.5.1.SAM</w:t>
            </w:r>
            <w:r w:rsidRPr="00C8046B">
              <w:rPr>
                <w:rFonts w:cs="Times New Roman"/>
                <w:color w:val="000000"/>
                <w:sz w:val="28"/>
                <w:szCs w:val="28"/>
              </w:rPr>
              <w:t xml:space="preserve"> ietvaros paredzēts</w:t>
            </w:r>
            <w:r w:rsidRPr="00C8046B">
              <w:rPr>
                <w:rFonts w:cs="Times New Roman"/>
                <w:sz w:val="28"/>
                <w:szCs w:val="28"/>
              </w:rPr>
              <w:t xml:space="preserve"> saglabāt, aizsargāt un attīstīt nozīmīgu kultūras un dabas mantojumu, kā arī attīstīt ar to saistītos pakalpojumus.</w:t>
            </w:r>
          </w:p>
          <w:p w:rsidR="00D521A4" w:rsidRPr="00483357" w:rsidRDefault="00C8046B">
            <w:pPr>
              <w:autoSpaceDE w:val="0"/>
              <w:autoSpaceDN w:val="0"/>
              <w:adjustRightInd w:val="0"/>
              <w:spacing w:after="0" w:line="240" w:lineRule="auto"/>
              <w:ind w:firstLine="646"/>
              <w:jc w:val="both"/>
              <w:rPr>
                <w:rFonts w:ascii="Times New Roman" w:hAnsi="Times New Roman" w:cs="Times New Roman"/>
                <w:color w:val="000000"/>
                <w:sz w:val="28"/>
                <w:szCs w:val="28"/>
              </w:rPr>
            </w:pPr>
            <w:r w:rsidRPr="00C8046B">
              <w:rPr>
                <w:rFonts w:ascii="Times New Roman" w:hAnsi="Times New Roman" w:cs="Times New Roman"/>
                <w:color w:val="000000"/>
                <w:sz w:val="28"/>
                <w:szCs w:val="28"/>
              </w:rPr>
              <w:t>Investīcijas plānotas teritorijās ar pilnvērtīgi neizmantotu attīstības potenciālu – kultūrvēsturisko teritoriju un ainavu koncentrācijas vietās ar izcilām kultūras un dabas vērtībām, un esošām apmeklētāju plūsmām. Teritoriālā koncentrācija nodrošinās, ka investīcijas tiks veiktas teritorijās, kurās dabas un kultūras mantojuma attīstībai ir lielākā potenciālā ietekme uz reģionālās attīstības, vietējās izaugsmes, komercdarbības, nodarbinātības un izaugsmes veicināšanu.</w:t>
            </w:r>
          </w:p>
          <w:p w:rsidR="00D521A4" w:rsidRPr="00483357" w:rsidRDefault="00C8046B" w:rsidP="00D521A4">
            <w:pPr>
              <w:pStyle w:val="Sarakstarindkopa"/>
              <w:spacing w:after="0" w:line="240" w:lineRule="auto"/>
              <w:ind w:left="0" w:firstLine="567"/>
              <w:contextualSpacing w:val="0"/>
              <w:jc w:val="both"/>
              <w:rPr>
                <w:rFonts w:ascii="Times New Roman" w:hAnsi="Times New Roman" w:cs="Times New Roman"/>
                <w:sz w:val="28"/>
                <w:szCs w:val="28"/>
              </w:rPr>
            </w:pPr>
            <w:r w:rsidRPr="00C8046B">
              <w:rPr>
                <w:rFonts w:ascii="Times New Roman" w:hAnsi="Times New Roman" w:cs="Times New Roman"/>
                <w:sz w:val="28"/>
                <w:szCs w:val="28"/>
              </w:rPr>
              <w:t xml:space="preserve">Ministru kabineta 2016.gada 24.maija noteikumos Nr.322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pirmās un otrās atlases kārtas īstenošanas noteikumi” (turpmāk – Noteikumi Nr.322) noteikta 5.5.1.SAM: </w:t>
            </w:r>
          </w:p>
          <w:p w:rsidR="00D521A4" w:rsidRPr="00483357" w:rsidRDefault="00C8046B" w:rsidP="00D521A4">
            <w:pPr>
              <w:pStyle w:val="Sarakstarindkopa"/>
              <w:numPr>
                <w:ilvl w:val="0"/>
                <w:numId w:val="43"/>
              </w:numPr>
              <w:spacing w:after="0" w:line="240" w:lineRule="auto"/>
              <w:ind w:left="357" w:hanging="357"/>
              <w:contextualSpacing w:val="0"/>
              <w:jc w:val="both"/>
              <w:rPr>
                <w:rFonts w:ascii="Times New Roman" w:hAnsi="Times New Roman" w:cs="Times New Roman"/>
                <w:sz w:val="28"/>
                <w:szCs w:val="28"/>
              </w:rPr>
            </w:pPr>
            <w:r w:rsidRPr="00C8046B">
              <w:rPr>
                <w:rFonts w:ascii="Times New Roman" w:hAnsi="Times New Roman" w:cs="Times New Roman"/>
                <w:sz w:val="28"/>
                <w:szCs w:val="28"/>
              </w:rPr>
              <w:t>pirmās atlases kārtas „Ieguldījumi kultūras un dabas mantojuma attīstībai visā Latvijas teritorijā (tai skaitā Rīgā), izņemot pārējās Baltijas jūras piekrastes pašvaldības” (turpmāk – pirmā atlases kārta) īstenošana;</w:t>
            </w:r>
          </w:p>
          <w:p w:rsidR="00D521A4" w:rsidRPr="00483357" w:rsidRDefault="00C8046B" w:rsidP="00D521A4">
            <w:pPr>
              <w:pStyle w:val="Sarakstarindkopa"/>
              <w:numPr>
                <w:ilvl w:val="0"/>
                <w:numId w:val="43"/>
              </w:numPr>
              <w:spacing w:after="0" w:line="240" w:lineRule="auto"/>
              <w:ind w:left="357" w:hanging="357"/>
              <w:contextualSpacing w:val="0"/>
              <w:jc w:val="both"/>
              <w:rPr>
                <w:rFonts w:ascii="Times New Roman" w:hAnsi="Times New Roman" w:cs="Times New Roman"/>
                <w:sz w:val="28"/>
                <w:szCs w:val="28"/>
              </w:rPr>
            </w:pPr>
            <w:r w:rsidRPr="00C8046B">
              <w:rPr>
                <w:rFonts w:ascii="Times New Roman" w:hAnsi="Times New Roman" w:cs="Times New Roman"/>
                <w:sz w:val="28"/>
                <w:szCs w:val="28"/>
              </w:rPr>
              <w:t>otrās atlases kārta „Ieguldījumi kultūras un dabas mantojuma attīstībai pašvaldībās, kuru administratīvā teritorija robežojas ar jūru (izņemot Rīgu)” (turpmāk – otrā atlases kārta) īstenošana.</w:t>
            </w:r>
          </w:p>
          <w:p w:rsidR="00D521A4" w:rsidRPr="00483357" w:rsidRDefault="00C8046B" w:rsidP="00D521A4">
            <w:pPr>
              <w:pStyle w:val="Sarakstarindkopa"/>
              <w:spacing w:after="0" w:line="240" w:lineRule="auto"/>
              <w:ind w:left="0" w:firstLine="571"/>
              <w:contextualSpacing w:val="0"/>
              <w:jc w:val="both"/>
              <w:rPr>
                <w:rFonts w:ascii="Times New Roman" w:hAnsi="Times New Roman" w:cs="Times New Roman"/>
                <w:sz w:val="28"/>
                <w:szCs w:val="28"/>
              </w:rPr>
            </w:pPr>
            <w:r w:rsidRPr="00C8046B">
              <w:rPr>
                <w:rFonts w:ascii="Times New Roman" w:hAnsi="Times New Roman" w:cs="Times New Roman"/>
                <w:sz w:val="28"/>
                <w:szCs w:val="28"/>
              </w:rPr>
              <w:lastRenderedPageBreak/>
              <w:t>Ar Ministru kabineta 2016.gada 20.decembra rīkojumu Nr.779 „Par 5.5.1.specifiskā atbalsta mērķa „Saglabāt, aizsargāt un attīstīt nozīmīgu kultūras un dabas mantojumu, kā arī attīstīt ar to saistītos pakalpojumus” projektu iesniegumu iesniedzēju saraksta apstiprināšanu” (turpmāk – Rīkojums Nr.779) ir noteikti 5.5.1.SAM pirmās atlases kārtas un otrās atlases kārtas projektu iesniegumu iesniedzēji.</w:t>
            </w:r>
          </w:p>
          <w:p w:rsidR="002F4CA7" w:rsidRPr="00483357" w:rsidRDefault="00C8046B" w:rsidP="00956ABE">
            <w:pPr>
              <w:spacing w:after="0" w:line="240" w:lineRule="auto"/>
              <w:ind w:firstLine="567"/>
              <w:jc w:val="both"/>
              <w:rPr>
                <w:rFonts w:ascii="Times New Roman" w:hAnsi="Times New Roman" w:cs="Times New Roman"/>
                <w:sz w:val="28"/>
                <w:szCs w:val="28"/>
              </w:rPr>
            </w:pPr>
            <w:r w:rsidRPr="00C8046B">
              <w:rPr>
                <w:rFonts w:ascii="Times New Roman" w:hAnsi="Times New Roman" w:cs="Times New Roman"/>
                <w:sz w:val="28"/>
                <w:szCs w:val="28"/>
              </w:rPr>
              <w:t xml:space="preserve">2017.gada 27.oktobrī stājās spēkā Ministru kabineta 2017.gada 24.oktobra noteikumi Nr.635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 (turpmāk – Noteikumi Nr.635), nodrošinot iespēju Daugavpils, Jelgavas, Rīgas, Valmieras un Ventspils pilsētai integrēto teritoriālo investīciju ietvarā īstenot projektus </w:t>
            </w:r>
            <w:r w:rsidRPr="00C8046B">
              <w:rPr>
                <w:rFonts w:ascii="Times New Roman" w:eastAsia="Times New Roman" w:hAnsi="Times New Roman" w:cs="Times New Roman"/>
                <w:sz w:val="28"/>
                <w:szCs w:val="28"/>
                <w:lang w:eastAsia="lv-LV"/>
              </w:rPr>
              <w:t xml:space="preserve">5.5.1.SAM </w:t>
            </w:r>
            <w:r w:rsidRPr="00C8046B">
              <w:rPr>
                <w:rFonts w:ascii="Times New Roman" w:hAnsi="Times New Roman" w:cs="Times New Roman"/>
                <w:sz w:val="28"/>
                <w:szCs w:val="28"/>
              </w:rPr>
              <w:t xml:space="preserve">trešās atlases kārtas „Ieguldījumi kultūras un dabas mantojuma attīstībai nacionālas nozīmes attīstības centru pašvaldībās” (turpmāk – trešā atlases kārta) ietvaros kultūras un dabas matojuma saglabāšanai, aizsargāšanai un attīstīšanai. </w:t>
            </w:r>
          </w:p>
          <w:p w:rsidR="00D521A4" w:rsidRPr="00483357" w:rsidRDefault="00C8046B">
            <w:pPr>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hAnsi="Times New Roman" w:cs="Times New Roman"/>
                <w:sz w:val="28"/>
                <w:szCs w:val="28"/>
              </w:rPr>
              <w:t xml:space="preserve">Noteikumos Nr.635 Rīgas pilsētas pašvaldībai paredzētais Eiropas Reģionālās attīstības fondu (turpmāk – ERAF) jeb </w:t>
            </w:r>
            <w:proofErr w:type="spellStart"/>
            <w:r w:rsidRPr="00C8046B">
              <w:rPr>
                <w:rFonts w:ascii="Times New Roman" w:hAnsi="Times New Roman" w:cs="Times New Roman"/>
                <w:sz w:val="28"/>
                <w:szCs w:val="28"/>
              </w:rPr>
              <w:t>virssaistību</w:t>
            </w:r>
            <w:proofErr w:type="spellEnd"/>
            <w:r w:rsidRPr="00C8046B">
              <w:rPr>
                <w:rFonts w:ascii="Times New Roman" w:hAnsi="Times New Roman" w:cs="Times New Roman"/>
                <w:sz w:val="28"/>
                <w:szCs w:val="28"/>
              </w:rPr>
              <w:t xml:space="preserve"> finansējums tika noteikts 2 419 222 </w:t>
            </w:r>
            <w:r w:rsidRPr="00C8046B">
              <w:rPr>
                <w:rFonts w:ascii="Times New Roman" w:hAnsi="Times New Roman" w:cs="Times New Roman"/>
                <w:i/>
                <w:sz w:val="28"/>
                <w:szCs w:val="28"/>
              </w:rPr>
              <w:t xml:space="preserve">euro </w:t>
            </w:r>
            <w:r w:rsidRPr="00C8046B">
              <w:rPr>
                <w:rFonts w:ascii="Times New Roman" w:hAnsi="Times New Roman" w:cs="Times New Roman"/>
                <w:sz w:val="28"/>
                <w:szCs w:val="28"/>
              </w:rPr>
              <w:t xml:space="preserve">apmērā.  </w:t>
            </w:r>
          </w:p>
          <w:p w:rsidR="00D521A4" w:rsidRPr="00483357" w:rsidRDefault="00C8046B">
            <w:pPr>
              <w:spacing w:after="0" w:line="240" w:lineRule="auto"/>
              <w:ind w:firstLine="553"/>
              <w:jc w:val="both"/>
              <w:rPr>
                <w:rFonts w:ascii="Times New Roman" w:eastAsia="Times New Roman" w:hAnsi="Times New Roman" w:cs="Times New Roman"/>
                <w:sz w:val="28"/>
                <w:szCs w:val="28"/>
                <w:lang w:eastAsia="lv-LV"/>
              </w:rPr>
            </w:pPr>
            <w:r w:rsidRPr="00C8046B">
              <w:rPr>
                <w:rFonts w:ascii="Times New Roman" w:hAnsi="Times New Roman" w:cs="Times New Roman"/>
                <w:sz w:val="28"/>
                <w:szCs w:val="28"/>
              </w:rPr>
              <w:t xml:space="preserve">Rīgas pilsētas pašvaldība 2018.gada 7.jūnijā iesniedza Centrālajā finanšu un līgumu aģentūrā projektu Nr.5.5.1.0/18/I/001  „Rīgas Centrāltirgus </w:t>
            </w:r>
            <w:proofErr w:type="spellStart"/>
            <w:r w:rsidRPr="00C8046B">
              <w:rPr>
                <w:rFonts w:ascii="Times New Roman" w:hAnsi="Times New Roman" w:cs="Times New Roman"/>
                <w:sz w:val="28"/>
                <w:szCs w:val="28"/>
              </w:rPr>
              <w:t>revitalizācija</w:t>
            </w:r>
            <w:proofErr w:type="spellEnd"/>
            <w:r w:rsidRPr="00C8046B">
              <w:rPr>
                <w:rFonts w:ascii="Times New Roman" w:hAnsi="Times New Roman" w:cs="Times New Roman"/>
                <w:sz w:val="28"/>
                <w:szCs w:val="28"/>
              </w:rPr>
              <w:t xml:space="preserve"> – kanālmalas infrastruktūras un publiskās ārtelpas sakārtošana” (turpmāk – Centrāltirgus </w:t>
            </w:r>
            <w:r w:rsidRPr="00C8046B">
              <w:rPr>
                <w:rFonts w:ascii="Times New Roman" w:hAnsi="Times New Roman" w:cs="Times New Roman"/>
                <w:sz w:val="28"/>
                <w:szCs w:val="28"/>
              </w:rPr>
              <w:lastRenderedPageBreak/>
              <w:t xml:space="preserve">projekts), paredzot investēt ERAF jeb </w:t>
            </w:r>
            <w:proofErr w:type="spellStart"/>
            <w:r w:rsidRPr="00C8046B">
              <w:rPr>
                <w:rFonts w:ascii="Times New Roman" w:hAnsi="Times New Roman" w:cs="Times New Roman"/>
                <w:sz w:val="28"/>
                <w:szCs w:val="28"/>
              </w:rPr>
              <w:t>virssaistību</w:t>
            </w:r>
            <w:proofErr w:type="spellEnd"/>
            <w:r w:rsidRPr="00C8046B">
              <w:rPr>
                <w:rFonts w:ascii="Times New Roman" w:hAnsi="Times New Roman" w:cs="Times New Roman"/>
                <w:sz w:val="28"/>
                <w:szCs w:val="28"/>
              </w:rPr>
              <w:t xml:space="preserve"> finansējumu 2 419 222 </w:t>
            </w:r>
            <w:r w:rsidRPr="00C8046B">
              <w:rPr>
                <w:rFonts w:ascii="Times New Roman" w:hAnsi="Times New Roman" w:cs="Times New Roman"/>
                <w:i/>
                <w:sz w:val="28"/>
                <w:szCs w:val="28"/>
              </w:rPr>
              <w:t>euro</w:t>
            </w:r>
            <w:r w:rsidRPr="00C8046B">
              <w:rPr>
                <w:rFonts w:ascii="Times New Roman" w:hAnsi="Times New Roman" w:cs="Times New Roman"/>
                <w:sz w:val="28"/>
                <w:szCs w:val="28"/>
              </w:rPr>
              <w:t xml:space="preserve"> apmērā. </w:t>
            </w:r>
          </w:p>
          <w:p w:rsidR="00D521A4" w:rsidRPr="00483357" w:rsidRDefault="00C8046B">
            <w:pPr>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hAnsi="Times New Roman" w:cs="Times New Roman"/>
                <w:sz w:val="28"/>
                <w:szCs w:val="28"/>
              </w:rPr>
              <w:t>Ņemot vērā to, ka Centrāltirgus projekta īstenošanā identificēti riski,</w:t>
            </w:r>
            <w:r w:rsidRPr="00C8046B">
              <w:rPr>
                <w:rFonts w:ascii="Times New Roman" w:eastAsia="Calibri" w:hAnsi="Times New Roman" w:cs="Times New Roman"/>
                <w:sz w:val="28"/>
                <w:szCs w:val="28"/>
              </w:rPr>
              <w:t xml:space="preserve"> kas būtiski ietekmē Centrāltirgus projekta </w:t>
            </w:r>
            <w:r w:rsidRPr="00C8046B">
              <w:rPr>
                <w:rFonts w:ascii="Times New Roman" w:hAnsi="Times New Roman" w:cs="Times New Roman"/>
                <w:sz w:val="28"/>
                <w:szCs w:val="28"/>
              </w:rPr>
              <w:t xml:space="preserve">īstenošanas </w:t>
            </w:r>
            <w:r w:rsidRPr="00C8046B">
              <w:rPr>
                <w:rFonts w:ascii="Times New Roman" w:eastAsia="Calibri" w:hAnsi="Times New Roman" w:cs="Times New Roman"/>
                <w:sz w:val="28"/>
                <w:szCs w:val="28"/>
              </w:rPr>
              <w:t xml:space="preserve">laika grafiku, tai skaitā paredzēto būvdarbu veikšanas secību un </w:t>
            </w:r>
            <w:r w:rsidRPr="00C8046B">
              <w:rPr>
                <w:rFonts w:ascii="Times New Roman" w:hAnsi="Times New Roman" w:cs="Times New Roman"/>
                <w:sz w:val="28"/>
                <w:szCs w:val="28"/>
              </w:rPr>
              <w:t>apjomus, 2019.gada 6.jūnijā Rīgas dome Centrāltirgus projektu atsauca.</w:t>
            </w:r>
          </w:p>
          <w:p w:rsidR="00D521A4" w:rsidRPr="00483357" w:rsidRDefault="00C8046B">
            <w:pPr>
              <w:autoSpaceDE w:val="0"/>
              <w:autoSpaceDN w:val="0"/>
              <w:adjustRightInd w:val="0"/>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hAnsi="Times New Roman" w:cs="Times New Roman"/>
                <w:sz w:val="28"/>
                <w:szCs w:val="28"/>
              </w:rPr>
              <w:t xml:space="preserve">Savukārt, ar Ministru kabineta 2018.gada 11.septembra noteikumiem Nr.577 „Grozījumi Ministru kabineta 2017.gada 24.oktobra noteikumos Nr.635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 no darbības programmas prioritārā virziena „Vides aizsardzības un resursu izmantošanas efektivitāte” 5.6.1.specifiskā atbalsta mērķa „Veicināt Rīgas pilsētas revitalizāciju, nodrošinot teritorijas efektīvu sociālekonomisko izmantošanu” (turpmāk – 5.6.1.SAM) uz </w:t>
            </w:r>
            <w:r w:rsidRPr="00C8046B">
              <w:rPr>
                <w:rFonts w:ascii="Times New Roman" w:eastAsia="Times New Roman" w:hAnsi="Times New Roman" w:cs="Times New Roman"/>
                <w:sz w:val="28"/>
                <w:szCs w:val="28"/>
              </w:rPr>
              <w:t>5.5.1.SAM trešo atlases kārtu tika novirzīts ERAF finansējums 23 192 193 </w:t>
            </w:r>
            <w:r w:rsidRPr="00C8046B">
              <w:rPr>
                <w:rFonts w:ascii="Times New Roman" w:eastAsia="Times New Roman" w:hAnsi="Times New Roman" w:cs="Times New Roman"/>
                <w:i/>
                <w:sz w:val="28"/>
                <w:szCs w:val="28"/>
              </w:rPr>
              <w:t>euro</w:t>
            </w:r>
            <w:r w:rsidRPr="00C8046B">
              <w:rPr>
                <w:rFonts w:ascii="Times New Roman" w:eastAsia="Times New Roman" w:hAnsi="Times New Roman" w:cs="Times New Roman"/>
                <w:sz w:val="28"/>
                <w:szCs w:val="28"/>
              </w:rPr>
              <w:t xml:space="preserve"> apmērā, tai skaitā snieguma rezerve 2 451 484 </w:t>
            </w:r>
            <w:r w:rsidRPr="00C8046B">
              <w:rPr>
                <w:rFonts w:ascii="Times New Roman" w:eastAsia="Times New Roman" w:hAnsi="Times New Roman" w:cs="Times New Roman"/>
                <w:i/>
                <w:sz w:val="28"/>
                <w:szCs w:val="28"/>
              </w:rPr>
              <w:t>euro</w:t>
            </w:r>
            <w:r w:rsidRPr="00C8046B">
              <w:rPr>
                <w:rFonts w:ascii="Times New Roman" w:eastAsia="Times New Roman" w:hAnsi="Times New Roman" w:cs="Times New Roman"/>
                <w:sz w:val="28"/>
                <w:szCs w:val="28"/>
              </w:rPr>
              <w:t>, kultūras mantojuma atjaunošanai un ar to saistītās infrastruktūras uzlabošanai ar mērķi izveidot nacionālo koncertzāli ar konferenču funkciju Rīgas pilsētā.</w:t>
            </w:r>
          </w:p>
          <w:p w:rsidR="00D521A4" w:rsidRPr="00483357" w:rsidRDefault="00C8046B">
            <w:pPr>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hAnsi="Times New Roman" w:cs="Times New Roman"/>
                <w:noProof/>
                <w:sz w:val="28"/>
                <w:szCs w:val="28"/>
              </w:rPr>
              <w:t xml:space="preserve">Vienlaikus 2019.gadā </w:t>
            </w:r>
            <w:r w:rsidRPr="00C8046B">
              <w:rPr>
                <w:rFonts w:ascii="Times New Roman" w:hAnsi="Times New Roman" w:cs="Times New Roman"/>
                <w:sz w:val="28"/>
                <w:szCs w:val="28"/>
              </w:rPr>
              <w:t xml:space="preserve">Finanšu ministrija, izvērtējot iespējas atbrīvot līdzekļus prioritāro pasākumu īstenošanai, attiecīgi palielinot fiskālo telpu, ir apzinājusi ES fondu snieguma rezerves finansējuma un citu neizmantoto finansējuma atlikumu novirzīšanas iespējas </w:t>
            </w:r>
            <w:r w:rsidRPr="00C8046B">
              <w:rPr>
                <w:rFonts w:ascii="Times New Roman" w:hAnsi="Times New Roman" w:cs="Times New Roman"/>
                <w:sz w:val="28"/>
                <w:szCs w:val="28"/>
              </w:rPr>
              <w:lastRenderedPageBreak/>
              <w:t>valsts budžeta līdzfinansējuma daļas aizstāšanai plānotajos un uzsāktajos ES fondu projektos. Ņemot vērā iespējamās ES fondu atlikumu un snieguma rezerves pārdales, tika pieņemts lēmums ES fondu līdzfinansējumu 29,4 milj. </w:t>
            </w:r>
            <w:proofErr w:type="spellStart"/>
            <w:r w:rsidRPr="00C8046B">
              <w:rPr>
                <w:rFonts w:ascii="Times New Roman" w:hAnsi="Times New Roman" w:cs="Times New Roman"/>
                <w:i/>
                <w:sz w:val="28"/>
                <w:szCs w:val="28"/>
              </w:rPr>
              <w:t>euro</w:t>
            </w:r>
            <w:proofErr w:type="spellEnd"/>
            <w:r w:rsidRPr="00C8046B">
              <w:rPr>
                <w:rFonts w:ascii="Times New Roman" w:hAnsi="Times New Roman" w:cs="Times New Roman"/>
                <w:sz w:val="28"/>
                <w:szCs w:val="28"/>
              </w:rPr>
              <w:t xml:space="preserve"> apmērā novirzīt VSIA „Paula Stradiņa klīniskās universitātes slimnīca” projekta</w:t>
            </w:r>
            <w:r>
              <w:rPr>
                <w:rStyle w:val="Vresatsauce"/>
                <w:rFonts w:ascii="Times New Roman" w:hAnsi="Times New Roman" w:cs="Times New Roman"/>
                <w:sz w:val="28"/>
                <w:szCs w:val="28"/>
              </w:rPr>
              <w:footnoteReference w:id="1"/>
            </w:r>
            <w:r w:rsidRPr="00C8046B">
              <w:rPr>
                <w:rFonts w:ascii="Times New Roman" w:hAnsi="Times New Roman" w:cs="Times New Roman"/>
                <w:sz w:val="28"/>
                <w:szCs w:val="28"/>
              </w:rPr>
              <w:t xml:space="preserve"> īstenošanai. Pārdalāmais ES fondu finansējums paredzēts VSIA „Paula Stradiņa klīniskās universitātes slimnīca” projekta valsts budžeta līdzfinansējuma atbrīvošanai.</w:t>
            </w:r>
          </w:p>
          <w:p w:rsidR="00D521A4" w:rsidRPr="00483357" w:rsidRDefault="00C8046B">
            <w:pPr>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Attiecīgi saskaņā ar Ministru kabineta 2019.gada 13.septembra sēdes protokollēmuma (prot. Nr.41 1.§) „Informatīvais ziņojums „Par fiskālās telpas pasākumiem un izdevumiem prioritārajiem pasākumiem valsts budžetam 2020.gadam un ietvaram 2020. – 2022.gadam”” 3.3.3.punktā noteikto Kultūras ministrijai tika uzdots novirzīt no 5.5.1.SAM uz VSIA „Paula Stradiņa klīniskās universitātes slimnīca” projektu ERAF finansējumu 16 100 000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w:t>
            </w:r>
          </w:p>
          <w:p w:rsidR="00D521A4" w:rsidRPr="00483357" w:rsidRDefault="00C8046B">
            <w:pPr>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Calibri" w:hAnsi="Times New Roman" w:cs="Times New Roman"/>
                <w:sz w:val="28"/>
                <w:szCs w:val="28"/>
              </w:rPr>
              <w:t>Informatīvā ziņojuma 1.pielikums „Snieguma rezerves finansējuma un finansējuma atlikumu novirzīšanas priekšlikumi” paredz risinājumus snieguma rezerves finansējuma un finansējuma atlikumu novirzīšanai, balstoties uz ES fondu atbildīgo iestāžu sniegtajiem priekšlikumiem, tai skaitā, paredzot, ka ES fondu atbildīgās iestādes var piedāvāt korekcijas ES fondu finansējuma pārdalēm, kuru rezultātā netiek veiktas pārdales starp prioritārajiem virzieniem vai fondiem.</w:t>
            </w:r>
          </w:p>
          <w:p w:rsidR="00D521A4" w:rsidRPr="00483357" w:rsidRDefault="00C8046B">
            <w:pPr>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Atbilstoši Informatīvā ziņojuma 1.pielikumā „Snieguma rezerves finansējuma un finansējuma atlikumu novirzīšanas priekšlikumi” norādītājam, paredzēta šāda 5.5.1.SAM atlikumu novirzīšana:</w:t>
            </w:r>
          </w:p>
          <w:p w:rsidR="00D521A4" w:rsidRPr="00483357" w:rsidRDefault="00C8046B" w:rsidP="00D521A4">
            <w:pPr>
              <w:pStyle w:val="Sarakstarindkopa"/>
              <w:numPr>
                <w:ilvl w:val="0"/>
                <w:numId w:val="22"/>
              </w:numPr>
              <w:spacing w:after="0" w:line="240" w:lineRule="auto"/>
              <w:ind w:left="357" w:hanging="35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5.5.1.SAM pirmās atlases kārtas ERAF finansējuma atlikumu 146 038</w:t>
            </w:r>
            <w:r w:rsidRPr="00C8046B">
              <w:rPr>
                <w:rFonts w:ascii="Times New Roman" w:eastAsia="Times New Roman" w:hAnsi="Times New Roman" w:cs="Times New Roman"/>
                <w:i/>
                <w:sz w:val="28"/>
                <w:szCs w:val="28"/>
                <w:lang w:eastAsia="lv-LV"/>
              </w:rPr>
              <w:t xml:space="preserve"> euro</w:t>
            </w:r>
            <w:r w:rsidRPr="00C8046B">
              <w:rPr>
                <w:rFonts w:ascii="Times New Roman" w:eastAsia="Times New Roman" w:hAnsi="Times New Roman" w:cs="Times New Roman"/>
                <w:sz w:val="28"/>
                <w:szCs w:val="28"/>
                <w:lang w:eastAsia="lv-LV"/>
              </w:rPr>
              <w:t xml:space="preserve"> apmērā novirzīt uz 5.6.1.SAM;</w:t>
            </w:r>
          </w:p>
          <w:p w:rsidR="00D521A4" w:rsidRPr="00483357" w:rsidRDefault="00C8046B" w:rsidP="00D521A4">
            <w:pPr>
              <w:pStyle w:val="Sarakstarindkopa"/>
              <w:numPr>
                <w:ilvl w:val="0"/>
                <w:numId w:val="22"/>
              </w:numPr>
              <w:spacing w:after="0" w:line="240" w:lineRule="auto"/>
              <w:ind w:left="357" w:hanging="35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5.5.1.SAM otrās atlases kārtas ERAF </w:t>
            </w:r>
            <w:r w:rsidRPr="00C8046B">
              <w:rPr>
                <w:rFonts w:ascii="Times New Roman" w:eastAsia="Times New Roman" w:hAnsi="Times New Roman" w:cs="Times New Roman"/>
                <w:sz w:val="28"/>
                <w:szCs w:val="28"/>
                <w:lang w:eastAsia="lv-LV"/>
              </w:rPr>
              <w:lastRenderedPageBreak/>
              <w:t xml:space="preserve">finansējuma atlikumu 64 754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 xml:space="preserve"> apmērā novirzīt uz 5.6.1.SAM;</w:t>
            </w:r>
          </w:p>
          <w:p w:rsidR="00D521A4" w:rsidRPr="00483357" w:rsidRDefault="00C8046B" w:rsidP="00D521A4">
            <w:pPr>
              <w:pStyle w:val="Sarakstarindkopa"/>
              <w:numPr>
                <w:ilvl w:val="0"/>
                <w:numId w:val="22"/>
              </w:numPr>
              <w:spacing w:after="0" w:line="240" w:lineRule="auto"/>
              <w:ind w:left="357" w:hanging="35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5.5.1.SAM trešās atlases kārtas ERAF finansējumu 16 100 000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 xml:space="preserve"> apmērā novirzīt uz VSIA „Paula Stradiņa klīniskās universitātes slimnīca” projektu. </w:t>
            </w:r>
          </w:p>
          <w:p w:rsidR="00A6715A" w:rsidRPr="00483357" w:rsidRDefault="00C8046B" w:rsidP="00956ABE">
            <w:pPr>
              <w:spacing w:after="0" w:line="240" w:lineRule="auto"/>
              <w:ind w:firstLine="567"/>
              <w:jc w:val="both"/>
              <w:rPr>
                <w:rFonts w:ascii="Times New Roman" w:hAnsi="Times New Roman" w:cs="Times New Roman"/>
                <w:sz w:val="28"/>
                <w:szCs w:val="28"/>
              </w:rPr>
            </w:pPr>
            <w:r w:rsidRPr="00C8046B">
              <w:rPr>
                <w:rFonts w:ascii="Times New Roman" w:eastAsia="Times New Roman" w:hAnsi="Times New Roman" w:cs="Times New Roman"/>
                <w:sz w:val="28"/>
                <w:szCs w:val="28"/>
              </w:rPr>
              <w:t xml:space="preserve">Ņemot vērā to, ka 5.5.1.SAM trešās atlases kārtas </w:t>
            </w:r>
            <w:r w:rsidRPr="00C8046B">
              <w:rPr>
                <w:rFonts w:ascii="Times New Roman" w:eastAsia="Times New Roman" w:hAnsi="Times New Roman" w:cs="Times New Roman"/>
                <w:sz w:val="28"/>
                <w:szCs w:val="28"/>
                <w:lang w:eastAsia="lv-LV"/>
              </w:rPr>
              <w:t>ERAF finansējums 16 100 000</w:t>
            </w:r>
            <w:r w:rsidRPr="00C8046B">
              <w:rPr>
                <w:rFonts w:ascii="Times New Roman" w:eastAsia="Times New Roman" w:hAnsi="Times New Roman" w:cs="Times New Roman"/>
                <w:i/>
                <w:sz w:val="28"/>
                <w:szCs w:val="28"/>
                <w:lang w:eastAsia="lv-LV"/>
              </w:rPr>
              <w:t> euro</w:t>
            </w:r>
            <w:r w:rsidRPr="00C8046B">
              <w:rPr>
                <w:rFonts w:ascii="Times New Roman" w:eastAsia="Times New Roman" w:hAnsi="Times New Roman" w:cs="Times New Roman"/>
                <w:sz w:val="28"/>
                <w:szCs w:val="28"/>
              </w:rPr>
              <w:t xml:space="preserve"> apmērā, kas tika paredzēts </w:t>
            </w:r>
            <w:r w:rsidRPr="00C8046B">
              <w:rPr>
                <w:rFonts w:ascii="Times New Roman" w:eastAsia="Times New Roman" w:hAnsi="Times New Roman" w:cs="Times New Roman"/>
                <w:sz w:val="28"/>
                <w:szCs w:val="28"/>
                <w:lang w:eastAsia="lv-LV"/>
              </w:rPr>
              <w:t xml:space="preserve">nacionālās koncertzāles ar konferenču funkciju projekta īstenošanai Rīgā, pārdalīts </w:t>
            </w:r>
            <w:r w:rsidRPr="00C8046B">
              <w:rPr>
                <w:rFonts w:ascii="Times New Roman" w:hAnsi="Times New Roman" w:cs="Times New Roman"/>
                <w:sz w:val="28"/>
                <w:szCs w:val="28"/>
              </w:rPr>
              <w:t>VSIA „Paula Stradiņa klīniskās universitātes slim</w:t>
            </w:r>
            <w:r w:rsidRPr="00C8046B">
              <w:rPr>
                <w:rFonts w:ascii="Times New Roman" w:eastAsia="Times New Roman" w:hAnsi="Times New Roman" w:cs="Times New Roman"/>
                <w:sz w:val="28"/>
                <w:szCs w:val="28"/>
                <w:lang w:eastAsia="lv-LV"/>
              </w:rPr>
              <w:t xml:space="preserve">nīca” projekta īstenošanai, 5.5.1.SAM ietvaros vairs nav pieejams pietiekams finansējums </w:t>
            </w:r>
            <w:r w:rsidRPr="00C8046B">
              <w:rPr>
                <w:rFonts w:ascii="Times New Roman" w:eastAsia="Times New Roman" w:hAnsi="Times New Roman" w:cs="Times New Roman"/>
                <w:sz w:val="28"/>
                <w:szCs w:val="28"/>
              </w:rPr>
              <w:t>kultūras mantojuma atjaunošanai un ar to saistītās infrastruktūras uzlabošanai ar mērķi izveidot nacionālo koncertzāli ar konferenču funkciju Rīgas pilsētā projekta īstenošanai, attiecīgi,</w:t>
            </w:r>
            <w:r w:rsidRPr="00C8046B">
              <w:rPr>
                <w:rFonts w:ascii="Times New Roman" w:eastAsia="Times New Roman" w:hAnsi="Times New Roman" w:cs="Times New Roman"/>
                <w:sz w:val="28"/>
                <w:szCs w:val="28"/>
                <w:lang w:eastAsia="lv-LV"/>
              </w:rPr>
              <w:t xml:space="preserve"> nacionālās koncertzāles ar konferenču funkciju projekta ieviešanu vairs neietekmē 5.6.1.SAM un 5.5.1.SAM nosacījumi. Ministru kabinetā 2019.gada 5.novembrī izskatīts informatīvais ziņojums „Par nacionālās koncertzāles attīstības projekta izstrādes gaitu un nepieciešamo finansējumu juridisko risinājumu izstrādei” (prot. Nr.51 51.§), kurā piedāvāta turpmākā rīcība nacionālās koncertzāles ar konferenču funkciju projekta īstenošanai Rīgā, neparedzot ERAF finansējuma piesaisti.</w:t>
            </w:r>
          </w:p>
          <w:p w:rsidR="00D521A4" w:rsidRPr="00483357" w:rsidRDefault="00C8046B">
            <w:pPr>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hAnsi="Times New Roman" w:cs="Times New Roman"/>
                <w:sz w:val="28"/>
                <w:szCs w:val="28"/>
              </w:rPr>
              <w:t xml:space="preserve">Tā kā Centrāltirgus projekta īstenošana tika atsaukta un atbrīvojās ERAF jeb </w:t>
            </w:r>
            <w:proofErr w:type="spellStart"/>
            <w:r w:rsidRPr="00C8046B">
              <w:rPr>
                <w:rFonts w:ascii="Times New Roman" w:hAnsi="Times New Roman" w:cs="Times New Roman"/>
                <w:sz w:val="28"/>
                <w:szCs w:val="28"/>
              </w:rPr>
              <w:t>virssaistību</w:t>
            </w:r>
            <w:proofErr w:type="spellEnd"/>
            <w:r w:rsidRPr="00C8046B">
              <w:rPr>
                <w:rFonts w:ascii="Times New Roman" w:hAnsi="Times New Roman" w:cs="Times New Roman"/>
                <w:sz w:val="28"/>
                <w:szCs w:val="28"/>
              </w:rPr>
              <w:t xml:space="preserve"> finansējums 2 419 222 </w:t>
            </w:r>
            <w:r w:rsidRPr="00C8046B">
              <w:rPr>
                <w:rFonts w:ascii="Times New Roman" w:hAnsi="Times New Roman" w:cs="Times New Roman"/>
                <w:i/>
                <w:sz w:val="28"/>
                <w:szCs w:val="28"/>
              </w:rPr>
              <w:t>euro</w:t>
            </w:r>
            <w:r w:rsidRPr="00C8046B">
              <w:rPr>
                <w:rFonts w:ascii="Times New Roman" w:hAnsi="Times New Roman" w:cs="Times New Roman"/>
                <w:sz w:val="28"/>
                <w:szCs w:val="28"/>
              </w:rPr>
              <w:t xml:space="preserve"> apmērā, Informatīvā ziņojuma 4.pielikumā „Eiropas Reģionālās attīstības fonda virssaistību izlietojums ES fondu 2014. – 2020.gada plānošanas periodā, projektu dalījumā,</w:t>
            </w:r>
            <w:r w:rsidRPr="00C8046B">
              <w:rPr>
                <w:rFonts w:ascii="Times New Roman" w:hAnsi="Times New Roman" w:cs="Times New Roman"/>
                <w:i/>
                <w:iCs/>
                <w:sz w:val="28"/>
                <w:szCs w:val="28"/>
              </w:rPr>
              <w:t xml:space="preserve"> euro</w:t>
            </w:r>
            <w:r w:rsidRPr="00C8046B">
              <w:rPr>
                <w:rFonts w:ascii="Times New Roman" w:hAnsi="Times New Roman" w:cs="Times New Roman"/>
                <w:sz w:val="28"/>
                <w:szCs w:val="28"/>
              </w:rPr>
              <w:t>” kā 5.5.1.SAM ietvaros atbalstāmie projekti ir iekļauts projekts „Dailes teātra skvēra, Brīvības ielā 75 atjaunošana” (virssaistību finansējuma apmērs 1 680 000 </w:t>
            </w:r>
            <w:r w:rsidRPr="00C8046B">
              <w:rPr>
                <w:rFonts w:ascii="Times New Roman" w:hAnsi="Times New Roman" w:cs="Times New Roman"/>
                <w:i/>
                <w:iCs/>
                <w:sz w:val="28"/>
                <w:szCs w:val="28"/>
              </w:rPr>
              <w:t>euro</w:t>
            </w:r>
            <w:r w:rsidRPr="00C8046B">
              <w:rPr>
                <w:rFonts w:ascii="Times New Roman" w:hAnsi="Times New Roman" w:cs="Times New Roman"/>
                <w:sz w:val="28"/>
                <w:szCs w:val="28"/>
              </w:rPr>
              <w:t xml:space="preserve">) un projekts „Strēlnieku laukuma skvēra atjaunošana” (virssaistību finansējuma apmērs 739 222 </w:t>
            </w:r>
            <w:r w:rsidRPr="00C8046B">
              <w:rPr>
                <w:rFonts w:ascii="Times New Roman" w:hAnsi="Times New Roman" w:cs="Times New Roman"/>
                <w:i/>
                <w:iCs/>
                <w:sz w:val="28"/>
                <w:szCs w:val="28"/>
              </w:rPr>
              <w:t>euro</w:t>
            </w:r>
            <w:r w:rsidRPr="00C8046B">
              <w:rPr>
                <w:rFonts w:ascii="Times New Roman" w:hAnsi="Times New Roman" w:cs="Times New Roman"/>
                <w:sz w:val="28"/>
                <w:szCs w:val="28"/>
              </w:rPr>
              <w:t xml:space="preserve">), kā projektu </w:t>
            </w:r>
            <w:r w:rsidRPr="00C8046B">
              <w:rPr>
                <w:rFonts w:ascii="Times New Roman" w:hAnsi="Times New Roman" w:cs="Times New Roman"/>
                <w:sz w:val="28"/>
                <w:szCs w:val="28"/>
              </w:rPr>
              <w:lastRenderedPageBreak/>
              <w:t xml:space="preserve">iesniedzēju norādot Rīgas pilsētas pašvaldību. </w:t>
            </w:r>
            <w:r w:rsidRPr="00C8046B">
              <w:rPr>
                <w:rFonts w:ascii="Times New Roman" w:eastAsia="Times New Roman" w:hAnsi="Times New Roman" w:cs="Times New Roman"/>
                <w:sz w:val="28"/>
                <w:szCs w:val="28"/>
                <w:lang w:eastAsia="lv-LV"/>
              </w:rPr>
              <w:t xml:space="preserve">Papildus ar protokollēmuma Nr.47 5.3.apakšpunktu Kultūras ministrijai tika uzdots novirzīt uz Izglītības un zinātnes ministrijas pārziņā esošā darbības programmas prioritārā virziena „Izglītība, prasmes un mūžizglītība” 8.1.3.specifisko atbalsta mērķa „Palielināt modernizēto profesionālās izglītības iestāžu skaitu” (turpmāk – 8.1.3.SAM) otro atlases kārtu 1 512 337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 xml:space="preserve"> valsts budžeta virssaistību finansējumu no 5.5.1.SAM trešās atlases kārtas.</w:t>
            </w:r>
          </w:p>
          <w:p w:rsidR="00D521A4" w:rsidRPr="00483357" w:rsidRDefault="00C8046B">
            <w:pPr>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Ņemot vērā to, ka 5.5.1.SAM finansējumu paredzēts novirzīt uz citu tematisko mērķi – 8.1.3.SAM, lai mazinātu administratīvo slogu un nebūtu jāierosina papildus grozījumi darbības programmā, ar protokollēmumu Nr.47 tika pieņemts lēmums uz 8.1.3.SAM pārvirzīt virssaistību finansējumu, aizstājot projekta „Dailes teātra skvēra, Brīvības ielā 75 atjaunošana” (finansējuma apmērs 1 680 000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 xml:space="preserve">) un projekta „Strēlnieku laukuma skvēra atjaunošana” (finansējuma apmērs </w:t>
            </w:r>
            <w:r w:rsidRPr="00C8046B">
              <w:rPr>
                <w:rFonts w:ascii="Times New Roman" w:hAnsi="Times New Roman" w:cs="Times New Roman"/>
                <w:sz w:val="28"/>
                <w:szCs w:val="28"/>
              </w:rPr>
              <w:t>739 222 </w:t>
            </w:r>
            <w:proofErr w:type="spellStart"/>
            <w:r w:rsidRPr="00C8046B">
              <w:rPr>
                <w:rFonts w:ascii="Times New Roman" w:eastAsia="Times New Roman" w:hAnsi="Times New Roman" w:cs="Times New Roman"/>
                <w:i/>
                <w:sz w:val="28"/>
                <w:szCs w:val="28"/>
                <w:lang w:eastAsia="lv-LV"/>
              </w:rPr>
              <w:t>euro</w:t>
            </w:r>
            <w:proofErr w:type="spellEnd"/>
            <w:r w:rsidRPr="00C8046B">
              <w:rPr>
                <w:rFonts w:ascii="Times New Roman" w:eastAsia="Times New Roman" w:hAnsi="Times New Roman" w:cs="Times New Roman"/>
                <w:sz w:val="28"/>
                <w:szCs w:val="28"/>
                <w:lang w:eastAsia="lv-LV"/>
              </w:rPr>
              <w:t xml:space="preserve">) īstenošanai paredzēto </w:t>
            </w:r>
            <w:proofErr w:type="spellStart"/>
            <w:r w:rsidRPr="00C8046B">
              <w:rPr>
                <w:rFonts w:ascii="Times New Roman" w:eastAsia="Times New Roman" w:hAnsi="Times New Roman" w:cs="Times New Roman"/>
                <w:sz w:val="28"/>
                <w:szCs w:val="28"/>
                <w:lang w:eastAsia="lv-LV"/>
              </w:rPr>
              <w:t>virssaistību</w:t>
            </w:r>
            <w:proofErr w:type="spellEnd"/>
            <w:r w:rsidRPr="00C8046B">
              <w:rPr>
                <w:rFonts w:ascii="Times New Roman" w:eastAsia="Times New Roman" w:hAnsi="Times New Roman" w:cs="Times New Roman"/>
                <w:sz w:val="28"/>
                <w:szCs w:val="28"/>
                <w:lang w:eastAsia="lv-LV"/>
              </w:rPr>
              <w:t xml:space="preserve"> finansējumu 1 512 337 </w:t>
            </w:r>
            <w:proofErr w:type="spellStart"/>
            <w:r w:rsidRPr="00C8046B">
              <w:rPr>
                <w:rFonts w:ascii="Times New Roman" w:eastAsia="Times New Roman" w:hAnsi="Times New Roman" w:cs="Times New Roman"/>
                <w:i/>
                <w:sz w:val="28"/>
                <w:szCs w:val="28"/>
                <w:lang w:eastAsia="lv-LV"/>
              </w:rPr>
              <w:t>euro</w:t>
            </w:r>
            <w:proofErr w:type="spellEnd"/>
            <w:r w:rsidRPr="00C8046B">
              <w:rPr>
                <w:rFonts w:ascii="Times New Roman" w:eastAsia="Times New Roman" w:hAnsi="Times New Roman" w:cs="Times New Roman"/>
                <w:sz w:val="28"/>
                <w:szCs w:val="28"/>
                <w:lang w:eastAsia="lv-LV"/>
              </w:rPr>
              <w:t xml:space="preserve"> apmērā ar ERAF finansējumu un saglabājot 906 885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 xml:space="preserve"> virssaistību finansējumu.</w:t>
            </w:r>
          </w:p>
          <w:p w:rsidR="00D521A4" w:rsidRPr="00483357" w:rsidRDefault="00C8046B">
            <w:pPr>
              <w:spacing w:after="0" w:line="240" w:lineRule="auto"/>
              <w:ind w:firstLine="567"/>
              <w:jc w:val="both"/>
              <w:rPr>
                <w:rFonts w:ascii="Times New Roman" w:eastAsia="Times New Roman" w:hAnsi="Times New Roman" w:cs="Times New Roman"/>
                <w:sz w:val="28"/>
                <w:szCs w:val="28"/>
                <w:highlight w:val="yellow"/>
                <w:lang w:eastAsia="lv-LV"/>
              </w:rPr>
            </w:pPr>
            <w:r w:rsidRPr="00C8046B">
              <w:rPr>
                <w:rFonts w:ascii="Times New Roman" w:eastAsia="Times New Roman" w:hAnsi="Times New Roman" w:cs="Times New Roman"/>
                <w:sz w:val="28"/>
                <w:szCs w:val="28"/>
                <w:lang w:eastAsia="lv-LV"/>
              </w:rPr>
              <w:t>2019.gada 21.decembrī stājās spēkā Ministru kabineta 2019.gada 17.decembra noteikumi Nr.676 „Grozījumi Ministru kabineta 2017.gada 24.oktobra noteikumos Nr.635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trešās projektu iesniegumu atlases kārtas „Ieguldījumi kultūras un dabas mantojuma attīstībai nacionālas nozīmes attīstības centru pašvaldībās” īstenošanas noteikumi”, kas paredz ERAF finansējuma 7 092 193</w:t>
            </w:r>
            <w:r w:rsidRPr="00C8046B">
              <w:rPr>
                <w:rFonts w:ascii="Times New Roman" w:eastAsia="Times New Roman" w:hAnsi="Times New Roman" w:cs="Times New Roman"/>
                <w:i/>
                <w:sz w:val="28"/>
                <w:szCs w:val="28"/>
                <w:lang w:eastAsia="lv-LV"/>
              </w:rPr>
              <w:t xml:space="preserve"> euro</w:t>
            </w:r>
            <w:r w:rsidRPr="00C8046B">
              <w:rPr>
                <w:rFonts w:ascii="Times New Roman" w:eastAsia="Times New Roman" w:hAnsi="Times New Roman" w:cs="Times New Roman"/>
                <w:sz w:val="28"/>
                <w:szCs w:val="28"/>
                <w:lang w:eastAsia="lv-LV"/>
              </w:rPr>
              <w:t xml:space="preserve">, tai skaitā </w:t>
            </w:r>
            <w:r w:rsidRPr="00C8046B">
              <w:rPr>
                <w:rFonts w:ascii="Times New Roman" w:eastAsia="Times New Roman" w:hAnsi="Times New Roman" w:cs="Times New Roman"/>
                <w:sz w:val="28"/>
                <w:szCs w:val="28"/>
                <w:lang w:eastAsia="lv-LV"/>
              </w:rPr>
              <w:lastRenderedPageBreak/>
              <w:t xml:space="preserve">snieguma rezervi 2 451 484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w:t>
            </w:r>
            <w:r w:rsidRPr="00C8046B">
              <w:rPr>
                <w:rFonts w:ascii="Times New Roman" w:eastAsia="Times New Roman" w:hAnsi="Times New Roman" w:cs="Times New Roman"/>
                <w:i/>
                <w:sz w:val="28"/>
                <w:szCs w:val="28"/>
                <w:lang w:eastAsia="lv-LV"/>
              </w:rPr>
              <w:t xml:space="preserve"> </w:t>
            </w:r>
            <w:r w:rsidRPr="00C8046B">
              <w:rPr>
                <w:rFonts w:ascii="Times New Roman" w:eastAsia="Times New Roman" w:hAnsi="Times New Roman" w:cs="Times New Roman"/>
                <w:sz w:val="28"/>
                <w:szCs w:val="28"/>
                <w:lang w:eastAsia="lv-LV"/>
              </w:rPr>
              <w:t>un virssaistību finansējuma 906 885</w:t>
            </w:r>
            <w:r w:rsidRPr="00C8046B">
              <w:rPr>
                <w:rFonts w:ascii="Times New Roman" w:eastAsia="Times New Roman" w:hAnsi="Times New Roman" w:cs="Times New Roman"/>
                <w:i/>
                <w:sz w:val="28"/>
                <w:szCs w:val="28"/>
                <w:lang w:eastAsia="lv-LV"/>
              </w:rPr>
              <w:t> euro</w:t>
            </w:r>
            <w:r w:rsidRPr="00C8046B">
              <w:rPr>
                <w:rFonts w:ascii="Times New Roman" w:eastAsia="Times New Roman" w:hAnsi="Times New Roman" w:cs="Times New Roman"/>
                <w:sz w:val="28"/>
                <w:szCs w:val="28"/>
                <w:lang w:eastAsia="lv-LV"/>
              </w:rPr>
              <w:t xml:space="preserve"> apmērā pārdali uz 5.5.1.SAM ceturto atlases kārtu, svītrojot Rīgas pilsētas pašvaldību kā 5.5.1.SAM trešās atlases kārtas finansējuma saņēmēju, ar mērķi noteikt Rīgas pilsētas pašvaldību kā 5.5.1.SAM ceturtās atlases kārtas finansējuma saņēmēju.</w:t>
            </w:r>
          </w:p>
          <w:p w:rsidR="00D521A4" w:rsidRPr="00483357" w:rsidRDefault="00C8046B">
            <w:pPr>
              <w:autoSpaceDE w:val="0"/>
              <w:autoSpaceDN w:val="0"/>
              <w:adjustRightInd w:val="0"/>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Lai nodrošinātu to, ka 5.5.1.SAM ERAF gala finansējums 7 092 193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 xml:space="preserve"> un virssaistību finansējums 906 885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 xml:space="preserve">, kas tika paredzēts </w:t>
            </w:r>
            <w:r w:rsidRPr="00C8046B">
              <w:rPr>
                <w:rFonts w:ascii="Times New Roman" w:hAnsi="Times New Roman" w:cs="Times New Roman"/>
                <w:sz w:val="28"/>
                <w:szCs w:val="28"/>
              </w:rPr>
              <w:t>kultūras un dabas matojuma saglabāšanai</w:t>
            </w:r>
            <w:r w:rsidRPr="00C8046B">
              <w:rPr>
                <w:rFonts w:ascii="Times New Roman" w:eastAsia="Times New Roman" w:hAnsi="Times New Roman" w:cs="Times New Roman"/>
                <w:sz w:val="28"/>
                <w:szCs w:val="28"/>
                <w:lang w:eastAsia="lv-LV"/>
              </w:rPr>
              <w:t xml:space="preserve"> Rīgā, tiek investēts atbilstoši sākotnēji plānotajam Rīgas pilsētā, nodrošinot 5.5.1.SAM ietvaros vienmērīgu investīciju pārklājumu visā Latvijas teritorijā, 5.5.1.SAM ceturtās atlases kārtas īstenošanas mērķis ir nodrošināt kultūras mantojuma attīstīšanu un saglabāšanu Rīgas vēsturiskajā centrā.</w:t>
            </w:r>
          </w:p>
          <w:p w:rsidR="00D521A4" w:rsidRPr="00483357" w:rsidRDefault="00C8046B" w:rsidP="00D521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Tādejādi, uzsākot 5.5.1.SAM ceturto atlases kārtu, iespējams nodrošināt Ministru kabineta noteikumu un vērtēšanas kritēriju izstrādi, kas atbilst Rīgas vēsturiskā centra augstajai konkurētspējai ar starptautiski nozīmīgiem kultūras mantojuma objektiem.</w:t>
            </w:r>
          </w:p>
          <w:p w:rsidR="00D521A4" w:rsidRPr="00483357" w:rsidRDefault="00C8046B" w:rsidP="00D521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Rīgas vēsturiskais centrs 1997.gadā iekļauts UNESCO Pasaules mantojuma sarakstā. Tāpat Rīgas vēsturiskā centra attīstīšana atbilst Latvijas Nacionālā attīstības plāna 2014. – 2020.gadam mērķim Nr.2, kas paredz stiprināt Latvijas reģionu starptautisko konkurētspēju, palielinot Rīgas kā Ziemeļeiropas metropoles un citu nacionālās nozīmes attīstības centru starptautisko lomu.</w:t>
            </w:r>
          </w:p>
          <w:p w:rsidR="00D521A4" w:rsidRPr="00483357" w:rsidRDefault="00C8046B" w:rsidP="00D521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Ņemot vērā to, ka 5.5.1.SAM ietvaros vairs nav pieejams pietiekams finansējums </w:t>
            </w:r>
            <w:r w:rsidRPr="00C8046B">
              <w:rPr>
                <w:rFonts w:ascii="Times New Roman" w:eastAsia="Times New Roman" w:hAnsi="Times New Roman" w:cs="Times New Roman"/>
                <w:sz w:val="28"/>
                <w:szCs w:val="28"/>
              </w:rPr>
              <w:t>kultūras mantojuma atjaunošanai un ar to saistītās infrastruktūras uzlabošanai ar mērķi izveidot nacionālo koncertzāli ar konferenču funkciju Rīgas pilsētā projekta īstenošanai, 5.5.1.SAM ceturtās kārtas ietvaros ERAF finansējumu 5 579 856</w:t>
            </w:r>
            <w:r w:rsidRPr="00C8046B">
              <w:rPr>
                <w:rFonts w:ascii="Times New Roman" w:eastAsia="Times New Roman" w:hAnsi="Times New Roman" w:cs="Times New Roman"/>
                <w:i/>
                <w:sz w:val="28"/>
                <w:szCs w:val="28"/>
              </w:rPr>
              <w:t xml:space="preserve"> euro</w:t>
            </w:r>
            <w:r w:rsidRPr="00C8046B">
              <w:rPr>
                <w:rFonts w:ascii="Times New Roman" w:eastAsia="Times New Roman" w:hAnsi="Times New Roman" w:cs="Times New Roman"/>
                <w:sz w:val="28"/>
                <w:szCs w:val="28"/>
              </w:rPr>
              <w:t xml:space="preserve"> apmērā paredzēts ieguldīt koncertzālē „Lielā Ģilde”.</w:t>
            </w:r>
          </w:p>
          <w:p w:rsidR="00D521A4" w:rsidRPr="00483357" w:rsidRDefault="00C8046B" w:rsidP="00D521A4">
            <w:pPr>
              <w:autoSpaceDE w:val="0"/>
              <w:autoSpaceDN w:val="0"/>
              <w:adjustRightInd w:val="0"/>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hAnsi="Times New Roman" w:cs="Times New Roman"/>
                <w:sz w:val="28"/>
                <w:szCs w:val="28"/>
              </w:rPr>
              <w:t xml:space="preserve">Savukārt, ņemot vērā Informatīvā </w:t>
            </w:r>
            <w:r w:rsidRPr="00C8046B">
              <w:rPr>
                <w:rFonts w:ascii="Times New Roman" w:hAnsi="Times New Roman" w:cs="Times New Roman"/>
                <w:sz w:val="28"/>
                <w:szCs w:val="28"/>
              </w:rPr>
              <w:lastRenderedPageBreak/>
              <w:t>ziņojuma 4.pielikumā „Eiropas Reģionālās attīstības fonda virssaistību izlietojums ES fondu 2014. – 2020.gada plānošanas periodā, projektu dalījumā,</w:t>
            </w:r>
            <w:r w:rsidRPr="00C8046B">
              <w:rPr>
                <w:rFonts w:ascii="Times New Roman" w:hAnsi="Times New Roman" w:cs="Times New Roman"/>
                <w:i/>
                <w:iCs/>
                <w:sz w:val="28"/>
                <w:szCs w:val="28"/>
              </w:rPr>
              <w:t xml:space="preserve"> euro</w:t>
            </w:r>
            <w:r w:rsidRPr="00C8046B">
              <w:rPr>
                <w:rFonts w:ascii="Times New Roman" w:hAnsi="Times New Roman" w:cs="Times New Roman"/>
                <w:sz w:val="28"/>
                <w:szCs w:val="28"/>
              </w:rPr>
              <w:t>” noteikto Centrāltirgus projekta vietā 5.5.1.SAM ceturtās atlases kārtas ietvaros paredzēts īstenot šādus projektus:</w:t>
            </w:r>
          </w:p>
          <w:p w:rsidR="00D521A4" w:rsidRPr="00483357" w:rsidRDefault="00C8046B" w:rsidP="00D521A4">
            <w:pPr>
              <w:pStyle w:val="Sarakstarindkopa"/>
              <w:numPr>
                <w:ilvl w:val="0"/>
                <w:numId w:val="44"/>
              </w:numPr>
              <w:autoSpaceDE w:val="0"/>
              <w:autoSpaceDN w:val="0"/>
              <w:adjustRightInd w:val="0"/>
              <w:spacing w:after="0" w:line="240" w:lineRule="auto"/>
              <w:ind w:left="357" w:hanging="357"/>
              <w:jc w:val="both"/>
              <w:rPr>
                <w:rFonts w:ascii="Times New Roman" w:eastAsia="Times New Roman" w:hAnsi="Times New Roman" w:cs="Times New Roman"/>
                <w:sz w:val="28"/>
                <w:szCs w:val="28"/>
                <w:lang w:eastAsia="lv-LV"/>
              </w:rPr>
            </w:pPr>
            <w:r w:rsidRPr="00C8046B">
              <w:rPr>
                <w:rFonts w:ascii="Times New Roman" w:hAnsi="Times New Roman" w:cs="Times New Roman"/>
                <w:sz w:val="28"/>
                <w:szCs w:val="28"/>
              </w:rPr>
              <w:t xml:space="preserve">projekts „Dailes teātra skvēra, Brīvības ielā 75, Rīgā atjaunošana” (virssaistību finansējums 906 885 </w:t>
            </w:r>
            <w:r w:rsidRPr="00C8046B">
              <w:rPr>
                <w:rFonts w:ascii="Times New Roman" w:hAnsi="Times New Roman" w:cs="Times New Roman"/>
                <w:i/>
                <w:sz w:val="28"/>
                <w:szCs w:val="28"/>
              </w:rPr>
              <w:t>euro</w:t>
            </w:r>
            <w:r w:rsidRPr="00C8046B">
              <w:rPr>
                <w:rFonts w:ascii="Times New Roman" w:hAnsi="Times New Roman" w:cs="Times New Roman"/>
                <w:sz w:val="28"/>
                <w:szCs w:val="28"/>
              </w:rPr>
              <w:t xml:space="preserve"> un ERAF finansējums 773 115 </w:t>
            </w:r>
            <w:r w:rsidRPr="00C8046B">
              <w:rPr>
                <w:rFonts w:ascii="Times New Roman" w:hAnsi="Times New Roman" w:cs="Times New Roman"/>
                <w:i/>
                <w:iCs/>
                <w:sz w:val="28"/>
                <w:szCs w:val="28"/>
              </w:rPr>
              <w:t>euro</w:t>
            </w:r>
            <w:r w:rsidRPr="00C8046B">
              <w:rPr>
                <w:rFonts w:ascii="Times New Roman" w:hAnsi="Times New Roman" w:cs="Times New Roman"/>
                <w:sz w:val="28"/>
                <w:szCs w:val="28"/>
              </w:rPr>
              <w:t>);</w:t>
            </w:r>
          </w:p>
          <w:p w:rsidR="00D521A4" w:rsidRPr="00483357" w:rsidRDefault="00C8046B" w:rsidP="00D521A4">
            <w:pPr>
              <w:pStyle w:val="Sarakstarindkopa"/>
              <w:numPr>
                <w:ilvl w:val="0"/>
                <w:numId w:val="44"/>
              </w:numPr>
              <w:autoSpaceDE w:val="0"/>
              <w:autoSpaceDN w:val="0"/>
              <w:adjustRightInd w:val="0"/>
              <w:spacing w:after="0" w:line="240" w:lineRule="auto"/>
              <w:ind w:left="357" w:hanging="357"/>
              <w:jc w:val="both"/>
              <w:rPr>
                <w:rFonts w:ascii="Times New Roman" w:eastAsia="Times New Roman" w:hAnsi="Times New Roman" w:cs="Times New Roman"/>
                <w:sz w:val="28"/>
                <w:szCs w:val="28"/>
                <w:lang w:eastAsia="lv-LV"/>
              </w:rPr>
            </w:pPr>
            <w:r w:rsidRPr="00C8046B">
              <w:rPr>
                <w:rFonts w:ascii="Times New Roman" w:hAnsi="Times New Roman" w:cs="Times New Roman"/>
                <w:sz w:val="28"/>
                <w:szCs w:val="28"/>
              </w:rPr>
              <w:t xml:space="preserve">projekts „Strēlnieku laukuma skvēra atjaunošana” (ERAF finansējuma apmērs 739 222 </w:t>
            </w:r>
            <w:r w:rsidRPr="00C8046B">
              <w:rPr>
                <w:rFonts w:ascii="Times New Roman" w:hAnsi="Times New Roman" w:cs="Times New Roman"/>
                <w:i/>
                <w:iCs/>
                <w:sz w:val="28"/>
                <w:szCs w:val="28"/>
              </w:rPr>
              <w:t>euro</w:t>
            </w:r>
            <w:r w:rsidRPr="00C8046B">
              <w:rPr>
                <w:rFonts w:ascii="Times New Roman" w:hAnsi="Times New Roman" w:cs="Times New Roman"/>
                <w:sz w:val="28"/>
                <w:szCs w:val="28"/>
              </w:rPr>
              <w:t>).</w:t>
            </w:r>
          </w:p>
          <w:p w:rsidR="006D6E14" w:rsidRPr="00483357" w:rsidRDefault="00C8046B" w:rsidP="00956ABE">
            <w:pPr>
              <w:spacing w:after="0" w:line="240" w:lineRule="auto"/>
              <w:ind w:firstLine="649"/>
              <w:jc w:val="both"/>
              <w:outlineLvl w:val="0"/>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sz w:val="28"/>
                <w:szCs w:val="28"/>
                <w:lang w:eastAsia="lv-LV"/>
              </w:rPr>
              <w:t>Noteikumu projektā</w:t>
            </w:r>
            <w:r w:rsidRPr="00C8046B">
              <w:rPr>
                <w:rFonts w:ascii="Times New Roman" w:eastAsia="Times New Roman" w:hAnsi="Times New Roman" w:cs="Times New Roman"/>
                <w:iCs/>
                <w:sz w:val="28"/>
                <w:szCs w:val="28"/>
                <w:lang w:eastAsia="lv-LV"/>
              </w:rPr>
              <w:t xml:space="preserve"> paredzēts, ka 5.5.1.SAM ceturtā atlases kārta tiks īstenota ierobežotas projektu iesniegumu atlases veidā, nosakot objektus, kuros paredzēts veikt ERAF un </w:t>
            </w:r>
            <w:proofErr w:type="spellStart"/>
            <w:r w:rsidRPr="00C8046B">
              <w:rPr>
                <w:rFonts w:ascii="Times New Roman" w:eastAsia="Times New Roman" w:hAnsi="Times New Roman" w:cs="Times New Roman"/>
                <w:iCs/>
                <w:sz w:val="28"/>
                <w:szCs w:val="28"/>
                <w:lang w:eastAsia="lv-LV"/>
              </w:rPr>
              <w:t>virssaistību</w:t>
            </w:r>
            <w:proofErr w:type="spellEnd"/>
            <w:r w:rsidRPr="00C8046B">
              <w:rPr>
                <w:rFonts w:ascii="Times New Roman" w:eastAsia="Times New Roman" w:hAnsi="Times New Roman" w:cs="Times New Roman"/>
                <w:iCs/>
                <w:sz w:val="28"/>
                <w:szCs w:val="28"/>
                <w:lang w:eastAsia="lv-LV"/>
              </w:rPr>
              <w:t xml:space="preserve"> finansējuma investīcijas, kā arī nosakot ERAF un </w:t>
            </w:r>
            <w:proofErr w:type="spellStart"/>
            <w:r w:rsidRPr="00C8046B">
              <w:rPr>
                <w:rFonts w:ascii="Times New Roman" w:eastAsia="Times New Roman" w:hAnsi="Times New Roman" w:cs="Times New Roman"/>
                <w:iCs/>
                <w:sz w:val="28"/>
                <w:szCs w:val="28"/>
                <w:lang w:eastAsia="lv-LV"/>
              </w:rPr>
              <w:t>virssaistību</w:t>
            </w:r>
            <w:proofErr w:type="spellEnd"/>
            <w:r w:rsidRPr="00C8046B">
              <w:rPr>
                <w:rFonts w:ascii="Times New Roman" w:eastAsia="Times New Roman" w:hAnsi="Times New Roman" w:cs="Times New Roman"/>
                <w:iCs/>
                <w:sz w:val="28"/>
                <w:szCs w:val="28"/>
                <w:lang w:eastAsia="lv-LV"/>
              </w:rPr>
              <w:t xml:space="preserve"> finansējuma apmēru katram objektam.</w:t>
            </w:r>
          </w:p>
          <w:p w:rsidR="00D521A4" w:rsidRPr="00483357" w:rsidRDefault="00C8046B" w:rsidP="00D521A4">
            <w:pPr>
              <w:spacing w:after="0" w:line="240" w:lineRule="auto"/>
              <w:ind w:firstLine="649"/>
              <w:jc w:val="both"/>
              <w:outlineLvl w:val="0"/>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xml:space="preserve">5.5.1.SAM ceturtās atlases kārtas projekta iesniedzējs ir pašvaldība, pašvaldības iestāde un valsts akciju sabiedrība „Valsts nekustamie īpašumi”, kuras īpašumā, turējumā vai valdījumā atrodas kultūras vai dabas mantojuma objekts, kurā plānotas investīcijas. </w:t>
            </w:r>
          </w:p>
          <w:p w:rsidR="00D521A4" w:rsidRPr="00483357" w:rsidRDefault="00C8046B">
            <w:pPr>
              <w:spacing w:after="0" w:line="240" w:lineRule="auto"/>
              <w:ind w:firstLine="649"/>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iCs/>
                <w:sz w:val="28"/>
                <w:szCs w:val="28"/>
                <w:lang w:eastAsia="lv-LV"/>
              </w:rPr>
              <w:t xml:space="preserve">Projekta iesniedzējs 5.5.1.SAM ceturtās atlases kārtas ietvaros projekta īstenošanai var piesaistīt sadarbības partneri – pašvaldību, pašvaldības iestādi un valsts akciju sabiedrību „Valsts nekustamie īpašumi”, kuras īpašumā, turējumā vai valdījumā atrodas kultūras </w:t>
            </w:r>
            <w:r w:rsidRPr="00C8046B">
              <w:rPr>
                <w:rFonts w:ascii="Times New Roman" w:eastAsia="Times New Roman" w:hAnsi="Times New Roman" w:cs="Times New Roman"/>
                <w:sz w:val="28"/>
                <w:szCs w:val="28"/>
                <w:lang w:eastAsia="lv-LV"/>
              </w:rPr>
              <w:t>mantojuma objekts, kurā plānotas investīcijas.</w:t>
            </w:r>
          </w:p>
          <w:p w:rsidR="00B97515" w:rsidRPr="00483357" w:rsidRDefault="00C8046B">
            <w:pPr>
              <w:autoSpaceDE w:val="0"/>
              <w:autoSpaceDN w:val="0"/>
              <w:adjustRightInd w:val="0"/>
              <w:spacing w:after="0" w:line="240" w:lineRule="auto"/>
              <w:ind w:firstLine="553"/>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Lai savlaicīgi risinātu ar projektu ieviešanu saistītos jautājumus un identificētu projekta īstenošanas riskus, tai skaitā risku, ka projekta ietvaros pieejamais attiecināmais finansējums (tai skaitā valsts finansējuma daļa) var pārsniegt Noteikumu projektā noteikto kopējo attiecināmo finansējumu. Kultūras ministrija paredz izveidot 5.5.1.SAM ceturtās atlases kārtas uzraudzības padomi, kuras ietvaros tiks uzraudzīta projekta īstenošana un </w:t>
            </w:r>
            <w:r w:rsidRPr="00C8046B">
              <w:rPr>
                <w:rFonts w:ascii="Times New Roman" w:eastAsia="Times New Roman" w:hAnsi="Times New Roman" w:cs="Times New Roman"/>
                <w:sz w:val="28"/>
                <w:szCs w:val="28"/>
                <w:lang w:eastAsia="lv-LV"/>
              </w:rPr>
              <w:lastRenderedPageBreak/>
              <w:t>savlaicīgi risināti ar projekta ieviešanu saistītie jautājumi.</w:t>
            </w:r>
          </w:p>
          <w:p w:rsidR="00D521A4" w:rsidRPr="00483357" w:rsidRDefault="00C8046B">
            <w:pPr>
              <w:autoSpaceDE w:val="0"/>
              <w:autoSpaceDN w:val="0"/>
              <w:adjustRightInd w:val="0"/>
              <w:spacing w:after="0" w:line="240" w:lineRule="auto"/>
              <w:ind w:firstLine="553"/>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iCs/>
                <w:sz w:val="28"/>
                <w:szCs w:val="28"/>
                <w:lang w:eastAsia="lv-LV"/>
              </w:rPr>
              <w:t>Intervences kodi</w:t>
            </w:r>
            <w:r w:rsidRPr="00C8046B">
              <w:rPr>
                <w:rFonts w:ascii="Times New Roman" w:eastAsia="Times New Roman" w:hAnsi="Times New Roman" w:cs="Times New Roman"/>
                <w:sz w:val="28"/>
                <w:szCs w:val="28"/>
                <w:lang w:eastAsia="lv-LV"/>
              </w:rPr>
              <w:t xml:space="preserve"> un būtiskākās attiecināmās izmaksas 5.5.1.SAM ceturtās atlases kārtas ietvaros būvniecībai ir šādas:</w:t>
            </w:r>
          </w:p>
          <w:tbl>
            <w:tblPr>
              <w:tblW w:w="5316" w:type="dxa"/>
              <w:jc w:val="center"/>
              <w:tblLayout w:type="fixed"/>
              <w:tblCellMar>
                <w:left w:w="0" w:type="dxa"/>
                <w:right w:w="0" w:type="dxa"/>
              </w:tblCellMar>
              <w:tblLook w:val="04A0"/>
            </w:tblPr>
            <w:tblGrid>
              <w:gridCol w:w="647"/>
              <w:gridCol w:w="1692"/>
              <w:gridCol w:w="2977"/>
            </w:tblGrid>
            <w:tr w:rsidR="00A65172" w:rsidRPr="00483357" w:rsidTr="00FF3A09">
              <w:trPr>
                <w:trHeight w:val="788"/>
                <w:jc w:val="center"/>
              </w:trPr>
              <w:tc>
                <w:tcPr>
                  <w:tcW w:w="647" w:type="dxa"/>
                  <w:tcBorders>
                    <w:top w:val="single" w:sz="8" w:space="0" w:color="000000"/>
                    <w:left w:val="single" w:sz="8" w:space="0" w:color="000000"/>
                    <w:bottom w:val="single" w:sz="4" w:space="0" w:color="auto"/>
                    <w:right w:val="single" w:sz="8" w:space="0" w:color="auto"/>
                  </w:tcBorders>
                  <w:tcMar>
                    <w:top w:w="0" w:type="dxa"/>
                    <w:left w:w="108" w:type="dxa"/>
                    <w:bottom w:w="0" w:type="dxa"/>
                    <w:right w:w="108" w:type="dxa"/>
                  </w:tcMar>
                  <w:vAlign w:val="center"/>
                  <w:hideMark/>
                </w:tcPr>
                <w:p w:rsidR="00D521A4" w:rsidRPr="00483357" w:rsidRDefault="00C8046B">
                  <w:pPr>
                    <w:spacing w:after="0" w:line="240" w:lineRule="auto"/>
                    <w:rPr>
                      <w:rFonts w:ascii="Times New Roman" w:eastAsiaTheme="minorEastAsia" w:hAnsi="Times New Roman" w:cs="Times New Roman"/>
                      <w:sz w:val="28"/>
                      <w:szCs w:val="28"/>
                    </w:rPr>
                  </w:pPr>
                  <w:r w:rsidRPr="00C8046B">
                    <w:rPr>
                      <w:rFonts w:ascii="Times New Roman" w:hAnsi="Times New Roman" w:cs="Times New Roman"/>
                      <w:sz w:val="28"/>
                      <w:szCs w:val="28"/>
                    </w:rPr>
                    <w:t>Nr.</w:t>
                  </w:r>
                </w:p>
              </w:tc>
              <w:tc>
                <w:tcPr>
                  <w:tcW w:w="1692" w:type="dxa"/>
                  <w:tcBorders>
                    <w:top w:val="single" w:sz="8" w:space="0" w:color="000000"/>
                    <w:left w:val="nil"/>
                    <w:bottom w:val="single" w:sz="4" w:space="0" w:color="auto"/>
                    <w:right w:val="single" w:sz="8" w:space="0" w:color="auto"/>
                  </w:tcBorders>
                  <w:vAlign w:val="center"/>
                  <w:hideMark/>
                </w:tcPr>
                <w:p w:rsidR="00D521A4" w:rsidRPr="00483357" w:rsidRDefault="00C8046B" w:rsidP="00D521A4">
                  <w:pPr>
                    <w:autoSpaceDE w:val="0"/>
                    <w:autoSpaceDN w:val="0"/>
                    <w:spacing w:after="0" w:line="240" w:lineRule="auto"/>
                    <w:jc w:val="center"/>
                    <w:rPr>
                      <w:rFonts w:ascii="Times New Roman" w:hAnsi="Times New Roman" w:cs="Times New Roman"/>
                      <w:sz w:val="28"/>
                      <w:szCs w:val="28"/>
                    </w:rPr>
                  </w:pPr>
                  <w:r w:rsidRPr="00C8046B">
                    <w:rPr>
                      <w:rFonts w:ascii="Times New Roman" w:hAnsi="Times New Roman" w:cs="Times New Roman"/>
                      <w:sz w:val="28"/>
                      <w:szCs w:val="28"/>
                    </w:rPr>
                    <w:t>Intervences koda nosaukums</w:t>
                  </w:r>
                </w:p>
              </w:tc>
              <w:tc>
                <w:tcPr>
                  <w:tcW w:w="2977"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rsidR="00D521A4" w:rsidRPr="00483357" w:rsidRDefault="00C8046B" w:rsidP="00D521A4">
                  <w:pPr>
                    <w:autoSpaceDE w:val="0"/>
                    <w:autoSpaceDN w:val="0"/>
                    <w:spacing w:after="0" w:line="240" w:lineRule="auto"/>
                    <w:jc w:val="center"/>
                    <w:rPr>
                      <w:rFonts w:ascii="Times New Roman" w:hAnsi="Times New Roman" w:cs="Times New Roman"/>
                      <w:sz w:val="28"/>
                      <w:szCs w:val="28"/>
                    </w:rPr>
                  </w:pPr>
                  <w:r w:rsidRPr="00C8046B">
                    <w:rPr>
                      <w:rFonts w:ascii="Times New Roman" w:hAnsi="Times New Roman" w:cs="Times New Roman"/>
                      <w:sz w:val="28"/>
                      <w:szCs w:val="28"/>
                    </w:rPr>
                    <w:t xml:space="preserve">Attiecināmās izmaksas </w:t>
                  </w:r>
                </w:p>
              </w:tc>
            </w:tr>
            <w:tr w:rsidR="00A65172" w:rsidRPr="00483357" w:rsidTr="00FF3A09">
              <w:trPr>
                <w:trHeight w:val="828"/>
                <w:jc w:val="center"/>
              </w:trPr>
              <w:tc>
                <w:tcPr>
                  <w:tcW w:w="64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A65172" w:rsidRPr="00483357" w:rsidRDefault="00C8046B" w:rsidP="00956ABE">
                  <w:pPr>
                    <w:autoSpaceDE w:val="0"/>
                    <w:autoSpaceDN w:val="0"/>
                    <w:spacing w:after="0" w:line="240" w:lineRule="auto"/>
                    <w:jc w:val="both"/>
                    <w:rPr>
                      <w:rFonts w:ascii="Times New Roman" w:hAnsi="Times New Roman" w:cs="Times New Roman"/>
                      <w:sz w:val="28"/>
                      <w:szCs w:val="28"/>
                    </w:rPr>
                  </w:pPr>
                  <w:r w:rsidRPr="00C8046B">
                    <w:rPr>
                      <w:rFonts w:ascii="Times New Roman" w:hAnsi="Times New Roman" w:cs="Times New Roman"/>
                      <w:sz w:val="28"/>
                      <w:szCs w:val="28"/>
                    </w:rPr>
                    <w:t>92.</w:t>
                  </w:r>
                </w:p>
              </w:tc>
              <w:tc>
                <w:tcPr>
                  <w:tcW w:w="169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D521A4" w:rsidRPr="00483357" w:rsidRDefault="00C8046B">
                  <w:pPr>
                    <w:autoSpaceDE w:val="0"/>
                    <w:autoSpaceDN w:val="0"/>
                    <w:spacing w:after="0" w:line="240" w:lineRule="auto"/>
                    <w:jc w:val="both"/>
                    <w:rPr>
                      <w:rFonts w:ascii="Times New Roman" w:hAnsi="Times New Roman" w:cs="Times New Roman"/>
                      <w:sz w:val="28"/>
                      <w:szCs w:val="28"/>
                    </w:rPr>
                  </w:pPr>
                  <w:r w:rsidRPr="00C8046B">
                    <w:rPr>
                      <w:rFonts w:ascii="Times New Roman" w:hAnsi="Times New Roman" w:cs="Times New Roman"/>
                      <w:sz w:val="28"/>
                      <w:szCs w:val="28"/>
                    </w:rPr>
                    <w:t>Publisko tūrisma objektu un vērtību aizsardzība, pilnveidošana un popularizēšana</w:t>
                  </w:r>
                </w:p>
              </w:tc>
              <w:tc>
                <w:tcPr>
                  <w:tcW w:w="2977"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D100D" w:rsidRPr="00483357" w:rsidRDefault="00C8046B" w:rsidP="001D100D">
                  <w:pPr>
                    <w:widowControl w:val="0"/>
                    <w:tabs>
                      <w:tab w:val="left" w:pos="993"/>
                    </w:tabs>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esošas būves, tai skaitā infrastruktūras, kas nodrošina kultūras mantojuma objekta sasniedzamību un pieejamību (satiksmes pārvadi, ielas un ar tām saistītā infrastruktūra, gājēju ceļi, gājēju tilti, labiekārtoti laukumi ar segumu, kāpnes, apgaismojums), atjaunošana, konservācija, pārbūve vai restaurācija un ar to saistītās publiskās ārtelpas attīstība;</w:t>
                  </w:r>
                </w:p>
                <w:p w:rsidR="001D100D" w:rsidRPr="00483357" w:rsidRDefault="00C8046B" w:rsidP="001D100D">
                  <w:pPr>
                    <w:widowControl w:val="0"/>
                    <w:tabs>
                      <w:tab w:val="left" w:pos="993"/>
                    </w:tabs>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jaunas būves, tai skaitā infrastruktūras, kas nodrošina kultūras mantojuma objekta sasniedzamību un pieejamību (satiksmes pārvadi, ielas un ar tām saistītā infrastruktūra, gājēju ceļi, gājēju tilti, labiekārtoti laukumi ar segumu, kāpnes, apgaismojums, ārtelpas elementi), būvniecība un ar to saistītās publiskās ārtelpas attīstība;</w:t>
                  </w:r>
                </w:p>
                <w:p w:rsidR="001D100D" w:rsidRPr="00483357" w:rsidRDefault="00C8046B" w:rsidP="001D100D">
                  <w:pPr>
                    <w:widowControl w:val="0"/>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 šā specifiskā atbalsta mērķa ceturtās atlases kārtas ietvaros </w:t>
                  </w:r>
                  <w:r w:rsidRPr="00C8046B">
                    <w:rPr>
                      <w:rFonts w:ascii="Times New Roman" w:eastAsia="Times New Roman" w:hAnsi="Times New Roman" w:cs="Times New Roman"/>
                      <w:sz w:val="28"/>
                      <w:szCs w:val="28"/>
                      <w:lang w:eastAsia="lv-LV"/>
                    </w:rPr>
                    <w:lastRenderedPageBreak/>
                    <w:t>atjaunoto, konservēto, pārbūvēto, restaurēto vai uzbūvēto būvju funkcionalitātes nodrošināšanai nepieciešamo inženiertīklu (tai skaitā ūdensvada, sadzīves kanalizācijas, lietusūdens kanalizācijas, elektrības, elektronisko sakaru, siltumapgādes, ventilācijas un ugunsdzēsības sistēmas) atjaunošana, pārbūve vai būvniecība;</w:t>
                  </w:r>
                </w:p>
                <w:p w:rsidR="001D100D" w:rsidRPr="00483357" w:rsidRDefault="00C8046B" w:rsidP="001D100D">
                  <w:pPr>
                    <w:widowControl w:val="0"/>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 </w:t>
                  </w:r>
                  <w:proofErr w:type="spellStart"/>
                  <w:r w:rsidRPr="00C8046B">
                    <w:rPr>
                      <w:rFonts w:ascii="Times New Roman" w:eastAsia="Times New Roman" w:hAnsi="Times New Roman" w:cs="Times New Roman"/>
                      <w:sz w:val="28"/>
                      <w:szCs w:val="28"/>
                      <w:lang w:eastAsia="lv-LV"/>
                    </w:rPr>
                    <w:t>inženierinfrastruktūras</w:t>
                  </w:r>
                  <w:proofErr w:type="spellEnd"/>
                  <w:r w:rsidRPr="00C8046B">
                    <w:rPr>
                      <w:rFonts w:ascii="Times New Roman" w:eastAsia="Times New Roman" w:hAnsi="Times New Roman" w:cs="Times New Roman"/>
                      <w:sz w:val="28"/>
                      <w:szCs w:val="28"/>
                      <w:lang w:eastAsia="lv-LV"/>
                    </w:rPr>
                    <w:t xml:space="preserve"> pārbūve vai funkcionāls savienojums, tai skaitā lietusūdens kanalizācijas infrastruktūras izbūve vai pārbūve (piegulošo inženiertīklu pārbūves izmaksas attiecināmas tikai gadījumā, ja tiek nodrošināts sertificēta būvinženiera ekspertīzes atzinums, kurā konstatēts, ka, projekta ietvaros veicot plānotos ieguldījumus noteiktās teritorijās, nav iespējams izvairīties no minētās infrastruktūras bojāšanas vai pārbūves un ieguldījumi inženiertīklu pārbūvē tiek veikti, nemainot inženiertīklu tehniskos parametrus un neradot priekšrocības to īpašniekiem);</w:t>
                  </w:r>
                </w:p>
                <w:p w:rsidR="001D100D" w:rsidRPr="00483357" w:rsidRDefault="00C8046B" w:rsidP="001D100D">
                  <w:pPr>
                    <w:widowControl w:val="0"/>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lastRenderedPageBreak/>
                    <w:t>- telpu aprīkošana un pielāgošana pakalpojumu sniegšanai, kas nepieciešama būves vai tās daļas pieņemšanai ekspluatācijā;</w:t>
                  </w:r>
                </w:p>
                <w:p w:rsidR="001D100D" w:rsidRPr="00483357" w:rsidRDefault="00C8046B" w:rsidP="001D100D">
                  <w:pPr>
                    <w:widowControl w:val="0"/>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ar kultūras mantojumu saistītās iekštelpu un ārtelpu ekspozīcijas izmaksas, aprīkojuma iegādes un uzstādīšanas izmaksas;</w:t>
                  </w:r>
                </w:p>
                <w:p w:rsidR="00C8046B" w:rsidRPr="00C8046B" w:rsidRDefault="00C8046B" w:rsidP="00C8046B">
                  <w:pPr>
                    <w:widowControl w:val="0"/>
                    <w:spacing w:after="0" w:line="240" w:lineRule="auto"/>
                    <w:jc w:val="both"/>
                    <w:outlineLvl w:val="0"/>
                    <w:rPr>
                      <w:sz w:val="28"/>
                      <w:szCs w:val="28"/>
                    </w:rPr>
                  </w:pPr>
                  <w:r w:rsidRPr="00C8046B">
                    <w:rPr>
                      <w:rFonts w:ascii="Times New Roman" w:eastAsia="Times New Roman" w:hAnsi="Times New Roman" w:cs="Times New Roman"/>
                      <w:sz w:val="28"/>
                      <w:szCs w:val="28"/>
                      <w:lang w:eastAsia="lv-LV"/>
                    </w:rPr>
                    <w:t>- izmaksas, kas saistītas ar būves nodošanu ekspluatācijā.</w:t>
                  </w:r>
                </w:p>
              </w:tc>
            </w:tr>
            <w:tr w:rsidR="00A65172" w:rsidRPr="00483357" w:rsidTr="00FF3A09">
              <w:trPr>
                <w:trHeight w:val="179"/>
                <w:jc w:val="center"/>
              </w:trPr>
              <w:tc>
                <w:tcPr>
                  <w:tcW w:w="6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65172" w:rsidRPr="00483357" w:rsidRDefault="00C8046B" w:rsidP="00956ABE">
                  <w:pPr>
                    <w:autoSpaceDE w:val="0"/>
                    <w:autoSpaceDN w:val="0"/>
                    <w:spacing w:after="0" w:line="240" w:lineRule="auto"/>
                    <w:jc w:val="both"/>
                    <w:rPr>
                      <w:rFonts w:ascii="Times New Roman" w:hAnsi="Times New Roman" w:cs="Times New Roman"/>
                      <w:sz w:val="28"/>
                      <w:szCs w:val="28"/>
                    </w:rPr>
                  </w:pPr>
                  <w:r w:rsidRPr="00C8046B">
                    <w:rPr>
                      <w:rFonts w:ascii="Times New Roman" w:hAnsi="Times New Roman" w:cs="Times New Roman"/>
                      <w:sz w:val="28"/>
                      <w:szCs w:val="28"/>
                    </w:rPr>
                    <w:lastRenderedPageBreak/>
                    <w:t>94.</w:t>
                  </w:r>
                </w:p>
              </w:tc>
              <w:tc>
                <w:tcPr>
                  <w:tcW w:w="1692" w:type="dxa"/>
                  <w:tcBorders>
                    <w:top w:val="nil"/>
                    <w:left w:val="nil"/>
                    <w:bottom w:val="single" w:sz="8" w:space="0" w:color="000000"/>
                    <w:right w:val="single" w:sz="8" w:space="0" w:color="000000"/>
                  </w:tcBorders>
                  <w:tcMar>
                    <w:top w:w="0" w:type="dxa"/>
                    <w:left w:w="108" w:type="dxa"/>
                    <w:bottom w:w="0" w:type="dxa"/>
                    <w:right w:w="108" w:type="dxa"/>
                  </w:tcMar>
                  <w:hideMark/>
                </w:tcPr>
                <w:p w:rsidR="00D521A4" w:rsidRPr="00483357" w:rsidRDefault="00C8046B">
                  <w:pPr>
                    <w:autoSpaceDE w:val="0"/>
                    <w:autoSpaceDN w:val="0"/>
                    <w:spacing w:after="0" w:line="240" w:lineRule="auto"/>
                    <w:jc w:val="both"/>
                    <w:rPr>
                      <w:rFonts w:ascii="Times New Roman" w:hAnsi="Times New Roman" w:cs="Times New Roman"/>
                      <w:sz w:val="28"/>
                      <w:szCs w:val="28"/>
                    </w:rPr>
                  </w:pPr>
                  <w:r w:rsidRPr="00C8046B">
                    <w:rPr>
                      <w:rFonts w:ascii="Times New Roman" w:hAnsi="Times New Roman" w:cs="Times New Roman"/>
                      <w:sz w:val="28"/>
                      <w:szCs w:val="28"/>
                    </w:rPr>
                    <w:t>Publisko kultūras un mantojuma vērtību aizsardzība, pilnveidošana un popularizēšana</w:t>
                  </w:r>
                </w:p>
              </w:tc>
              <w:tc>
                <w:tcPr>
                  <w:tcW w:w="2977" w:type="dxa"/>
                  <w:tcBorders>
                    <w:top w:val="nil"/>
                    <w:left w:val="nil"/>
                    <w:bottom w:val="single" w:sz="8" w:space="0" w:color="000000"/>
                    <w:right w:val="single" w:sz="8" w:space="0" w:color="000000"/>
                  </w:tcBorders>
                  <w:tcMar>
                    <w:top w:w="0" w:type="dxa"/>
                    <w:left w:w="108" w:type="dxa"/>
                    <w:bottom w:w="0" w:type="dxa"/>
                    <w:right w:w="108" w:type="dxa"/>
                  </w:tcMar>
                  <w:hideMark/>
                </w:tcPr>
                <w:p w:rsidR="001D100D" w:rsidRPr="00483357" w:rsidRDefault="00C8046B" w:rsidP="001D100D">
                  <w:pPr>
                    <w:widowControl w:val="0"/>
                    <w:tabs>
                      <w:tab w:val="left" w:pos="993"/>
                    </w:tabs>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esošas būves, tai skaitā infrastruktūras, kas nodrošina kultūras mantojuma objekta sasniedzamību un pieejamību (satiksmes pārvadi, ielas un ar tām saistītā infrastruktūra, gājēju ceļi, gājēju tilti, labiekārtoti laukumi ar segumu, kāpnes, apgaismojums), atjaunošana, konservācija, pārbūve vai restaurācija un ar to saistītās publiskās ārtelpas attīstība;</w:t>
                  </w:r>
                </w:p>
                <w:p w:rsidR="001D100D" w:rsidRPr="00483357" w:rsidRDefault="00C8046B" w:rsidP="001D100D">
                  <w:pPr>
                    <w:widowControl w:val="0"/>
                    <w:tabs>
                      <w:tab w:val="left" w:pos="993"/>
                    </w:tabs>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 jaunas būves, tai skaitā infrastruktūras, kas nodrošina kultūras mantojuma objekta sasniedzamību un pieejamību (satiksmes pārvadi, ielas un ar tām saistītā infrastruktūra, gājēju ceļi, gājēju tilti, labiekārtoti laukumi ar segumu, kāpnes, </w:t>
                  </w:r>
                  <w:r w:rsidRPr="00C8046B">
                    <w:rPr>
                      <w:rFonts w:ascii="Times New Roman" w:eastAsia="Times New Roman" w:hAnsi="Times New Roman" w:cs="Times New Roman"/>
                      <w:sz w:val="28"/>
                      <w:szCs w:val="28"/>
                      <w:lang w:eastAsia="lv-LV"/>
                    </w:rPr>
                    <w:lastRenderedPageBreak/>
                    <w:t>apgaismojums, ārtelpas elementi), būvniecība un ar to saistītās publiskās ārtelpas attīstība;</w:t>
                  </w:r>
                </w:p>
                <w:p w:rsidR="001D100D" w:rsidRPr="00483357" w:rsidRDefault="00C8046B" w:rsidP="001D100D">
                  <w:pPr>
                    <w:widowControl w:val="0"/>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šā specifiskā atbalsta mērķa ceturtās atlases kārtas ietvaros atjaunoto, konservēto, pārbūvēto, restaurēto vai uzbūvēto būvju funkcionalitātes nodrošināšanai nepieciešamo inženiertīklu (tai skaitā ūdensvada, sadzīves kanalizācijas, lietusūdens kanalizācijas, elektrības, elektronisko sakaru, siltumapgādes, ventilācijas un ugunsdzēsības sistēmas) atjaunošana, pārbūve vai būvniecība;</w:t>
                  </w:r>
                </w:p>
                <w:p w:rsidR="001D100D" w:rsidRPr="00483357" w:rsidRDefault="00C8046B" w:rsidP="001D100D">
                  <w:pPr>
                    <w:widowControl w:val="0"/>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 </w:t>
                  </w:r>
                  <w:proofErr w:type="spellStart"/>
                  <w:r w:rsidRPr="00C8046B">
                    <w:rPr>
                      <w:rFonts w:ascii="Times New Roman" w:eastAsia="Times New Roman" w:hAnsi="Times New Roman" w:cs="Times New Roman"/>
                      <w:sz w:val="28"/>
                      <w:szCs w:val="28"/>
                      <w:lang w:eastAsia="lv-LV"/>
                    </w:rPr>
                    <w:t>inženierinfrastruktūras</w:t>
                  </w:r>
                  <w:proofErr w:type="spellEnd"/>
                  <w:r w:rsidRPr="00C8046B">
                    <w:rPr>
                      <w:rFonts w:ascii="Times New Roman" w:eastAsia="Times New Roman" w:hAnsi="Times New Roman" w:cs="Times New Roman"/>
                      <w:sz w:val="28"/>
                      <w:szCs w:val="28"/>
                      <w:lang w:eastAsia="lv-LV"/>
                    </w:rPr>
                    <w:t xml:space="preserve"> pārbūve vai funkcionāls savienojums, tai skaitā lietusūdens kanalizācijas infrastruktūras izbūve vai pārbūve (piegulošo inženiertīklu pārbūves izmaksas attiecināmas tikai gadījumā, ja tiek nodrošināts sertificēta būvinženiera ekspertīzes atzinums, kurā konstatēts, ka, projekta ietvaros veicot plānotos ieguldījumus noteiktās teritorijās, nav iespējams izvairīties no minētās infrastruktūras </w:t>
                  </w:r>
                  <w:r w:rsidRPr="00C8046B">
                    <w:rPr>
                      <w:rFonts w:ascii="Times New Roman" w:eastAsia="Times New Roman" w:hAnsi="Times New Roman" w:cs="Times New Roman"/>
                      <w:sz w:val="28"/>
                      <w:szCs w:val="28"/>
                      <w:lang w:eastAsia="lv-LV"/>
                    </w:rPr>
                    <w:lastRenderedPageBreak/>
                    <w:t>bojāšanas vai pārbūves un ieguldījumi inženiertīklu pārbūvē tiek veikti, nemainot inženiertīklu tehniskos parametrus un neradot priekšrocības to īpašniekiem);</w:t>
                  </w:r>
                </w:p>
                <w:p w:rsidR="001D100D" w:rsidRPr="00483357" w:rsidRDefault="00C8046B" w:rsidP="001D100D">
                  <w:pPr>
                    <w:widowControl w:val="0"/>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telpu aprīkošana un pielāgošana pakalpojumu sniegšanai, kas nepieciešama būves vai tās daļas pieņemšanai ekspluatācijā;</w:t>
                  </w:r>
                </w:p>
                <w:p w:rsidR="001D100D" w:rsidRPr="00483357" w:rsidRDefault="00C8046B" w:rsidP="001D100D">
                  <w:pPr>
                    <w:widowControl w:val="0"/>
                    <w:spacing w:after="0" w:line="240" w:lineRule="auto"/>
                    <w:jc w:val="both"/>
                    <w:outlineLvl w:val="0"/>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ar kultūras mantojumu saistītās iekštelpu un ārtelpu ekspozīcijas izmaksas, aprīkojuma iegādes un uzstādīšanas izmaksas;</w:t>
                  </w:r>
                </w:p>
                <w:p w:rsidR="00D521A4" w:rsidRPr="00483357" w:rsidRDefault="00C8046B" w:rsidP="001D100D">
                  <w:pPr>
                    <w:pStyle w:val="tv213"/>
                    <w:spacing w:before="0" w:beforeAutospacing="0" w:after="0" w:afterAutospacing="0"/>
                    <w:jc w:val="both"/>
                    <w:rPr>
                      <w:sz w:val="28"/>
                      <w:szCs w:val="28"/>
                    </w:rPr>
                  </w:pPr>
                  <w:r w:rsidRPr="00C8046B">
                    <w:rPr>
                      <w:sz w:val="28"/>
                      <w:szCs w:val="28"/>
                    </w:rPr>
                    <w:t>- izmaksas, kas saistītas ar būves nodošanu ekspluatācijā.</w:t>
                  </w:r>
                </w:p>
              </w:tc>
            </w:tr>
          </w:tbl>
          <w:p w:rsidR="00A65172" w:rsidRPr="00483357" w:rsidRDefault="00A65172" w:rsidP="00956ABE">
            <w:pPr>
              <w:spacing w:after="0" w:line="240" w:lineRule="auto"/>
              <w:jc w:val="both"/>
              <w:rPr>
                <w:rFonts w:ascii="Times New Roman" w:hAnsi="Times New Roman" w:cs="Times New Roman"/>
                <w:sz w:val="28"/>
                <w:szCs w:val="28"/>
                <w:highlight w:val="yellow"/>
              </w:rPr>
            </w:pPr>
          </w:p>
          <w:p w:rsidR="00D521A4" w:rsidRPr="00483357" w:rsidRDefault="00C8046B">
            <w:pPr>
              <w:spacing w:after="0" w:line="240" w:lineRule="auto"/>
              <w:ind w:firstLine="649"/>
              <w:jc w:val="both"/>
              <w:rPr>
                <w:rFonts w:ascii="Times New Roman" w:hAnsi="Times New Roman" w:cs="Times New Roman"/>
                <w:sz w:val="28"/>
                <w:szCs w:val="28"/>
              </w:rPr>
            </w:pPr>
            <w:r w:rsidRPr="00C8046B">
              <w:rPr>
                <w:rFonts w:ascii="Times New Roman" w:hAnsi="Times New Roman" w:cs="Times New Roman"/>
                <w:sz w:val="28"/>
                <w:szCs w:val="28"/>
              </w:rPr>
              <w:t>5.5.1.SAM ceturtās atlases kārtas ietvaros plānots, ka attiecināmo izmaksu sadalījums starp intervences kodiem paredzams šāds:</w:t>
            </w:r>
          </w:p>
          <w:tbl>
            <w:tblPr>
              <w:tblStyle w:val="Reatabula"/>
              <w:tblW w:w="5093" w:type="dxa"/>
              <w:jc w:val="center"/>
              <w:tblInd w:w="218" w:type="dxa"/>
              <w:tblLayout w:type="fixed"/>
              <w:tblLook w:val="04A0"/>
            </w:tblPr>
            <w:tblGrid>
              <w:gridCol w:w="3544"/>
              <w:gridCol w:w="1549"/>
            </w:tblGrid>
            <w:tr w:rsidR="00A65172" w:rsidRPr="00483357" w:rsidTr="00B27E69">
              <w:trPr>
                <w:jc w:val="center"/>
              </w:trPr>
              <w:tc>
                <w:tcPr>
                  <w:tcW w:w="3544" w:type="dxa"/>
                  <w:vAlign w:val="center"/>
                </w:tcPr>
                <w:p w:rsidR="00D521A4" w:rsidRPr="00483357" w:rsidRDefault="00C8046B" w:rsidP="00D521A4">
                  <w:pPr>
                    <w:spacing w:after="160" w:line="259" w:lineRule="auto"/>
                    <w:jc w:val="center"/>
                    <w:rPr>
                      <w:rFonts w:ascii="Times New Roman" w:hAnsi="Times New Roman" w:cs="Times New Roman"/>
                      <w:b/>
                      <w:sz w:val="28"/>
                      <w:szCs w:val="28"/>
                    </w:rPr>
                  </w:pPr>
                  <w:r w:rsidRPr="00C8046B">
                    <w:rPr>
                      <w:rFonts w:ascii="Times New Roman" w:hAnsi="Times New Roman" w:cs="Times New Roman"/>
                      <w:b/>
                      <w:sz w:val="28"/>
                      <w:szCs w:val="28"/>
                    </w:rPr>
                    <w:t>Intervences kods</w:t>
                  </w:r>
                </w:p>
              </w:tc>
              <w:tc>
                <w:tcPr>
                  <w:tcW w:w="1549" w:type="dxa"/>
                </w:tcPr>
                <w:p w:rsidR="00D521A4" w:rsidRPr="00483357" w:rsidRDefault="00C8046B" w:rsidP="00D521A4">
                  <w:pPr>
                    <w:spacing w:after="160" w:line="259" w:lineRule="auto"/>
                    <w:jc w:val="center"/>
                    <w:rPr>
                      <w:rFonts w:ascii="Times New Roman" w:hAnsi="Times New Roman" w:cs="Times New Roman"/>
                      <w:b/>
                      <w:sz w:val="28"/>
                      <w:szCs w:val="28"/>
                    </w:rPr>
                  </w:pPr>
                  <w:r w:rsidRPr="00C8046B">
                    <w:rPr>
                      <w:rFonts w:ascii="Times New Roman" w:hAnsi="Times New Roman" w:cs="Times New Roman"/>
                      <w:b/>
                      <w:sz w:val="28"/>
                      <w:szCs w:val="28"/>
                    </w:rPr>
                    <w:t xml:space="preserve">ERAF un </w:t>
                  </w:r>
                  <w:proofErr w:type="spellStart"/>
                  <w:r w:rsidRPr="00C8046B">
                    <w:rPr>
                      <w:rFonts w:ascii="Times New Roman" w:hAnsi="Times New Roman" w:cs="Times New Roman"/>
                      <w:b/>
                      <w:sz w:val="28"/>
                      <w:szCs w:val="28"/>
                    </w:rPr>
                    <w:t>virssaistību</w:t>
                  </w:r>
                  <w:proofErr w:type="spellEnd"/>
                  <w:r w:rsidRPr="00C8046B">
                    <w:rPr>
                      <w:rFonts w:ascii="Times New Roman" w:hAnsi="Times New Roman" w:cs="Times New Roman"/>
                      <w:b/>
                      <w:sz w:val="28"/>
                      <w:szCs w:val="28"/>
                    </w:rPr>
                    <w:t xml:space="preserve"> finansējums, </w:t>
                  </w:r>
                  <w:r w:rsidRPr="00C8046B">
                    <w:rPr>
                      <w:rFonts w:ascii="Times New Roman" w:hAnsi="Times New Roman" w:cs="Times New Roman"/>
                      <w:b/>
                      <w:i/>
                      <w:sz w:val="28"/>
                      <w:szCs w:val="28"/>
                    </w:rPr>
                    <w:t>euro</w:t>
                  </w:r>
                </w:p>
              </w:tc>
            </w:tr>
            <w:tr w:rsidR="00A65172" w:rsidRPr="00483357" w:rsidTr="00B27E69">
              <w:trPr>
                <w:jc w:val="center"/>
              </w:trPr>
              <w:tc>
                <w:tcPr>
                  <w:tcW w:w="3544" w:type="dxa"/>
                </w:tcPr>
                <w:p w:rsidR="00A65172" w:rsidRPr="00483357" w:rsidRDefault="00C8046B" w:rsidP="00956ABE">
                  <w:pPr>
                    <w:spacing w:after="160" w:line="259" w:lineRule="auto"/>
                    <w:jc w:val="both"/>
                    <w:rPr>
                      <w:rFonts w:ascii="Times New Roman" w:hAnsi="Times New Roman" w:cs="Times New Roman"/>
                      <w:sz w:val="28"/>
                      <w:szCs w:val="28"/>
                    </w:rPr>
                  </w:pPr>
                  <w:r w:rsidRPr="00C8046B">
                    <w:rPr>
                      <w:rFonts w:ascii="Times New Roman" w:hAnsi="Times New Roman" w:cs="Times New Roman"/>
                      <w:sz w:val="28"/>
                      <w:szCs w:val="28"/>
                    </w:rPr>
                    <w:t>92. Publisko tūrisma objektu un vērtību aizsardzība, pilnveidošana un popularizēšana</w:t>
                  </w:r>
                </w:p>
              </w:tc>
              <w:tc>
                <w:tcPr>
                  <w:tcW w:w="1549" w:type="dxa"/>
                </w:tcPr>
                <w:p w:rsidR="00D521A4" w:rsidRPr="00483357" w:rsidRDefault="00C8046B" w:rsidP="00D521A4">
                  <w:pPr>
                    <w:spacing w:after="160" w:line="259" w:lineRule="auto"/>
                    <w:jc w:val="right"/>
                    <w:rPr>
                      <w:rFonts w:ascii="Times New Roman" w:hAnsi="Times New Roman" w:cs="Times New Roman"/>
                      <w:sz w:val="28"/>
                      <w:szCs w:val="28"/>
                    </w:rPr>
                  </w:pPr>
                  <w:r w:rsidRPr="00C8046B">
                    <w:rPr>
                      <w:rFonts w:ascii="Times New Roman" w:hAnsi="Times New Roman" w:cs="Times New Roman"/>
                      <w:sz w:val="28"/>
                      <w:szCs w:val="28"/>
                    </w:rPr>
                    <w:t>2 419 222</w:t>
                  </w:r>
                </w:p>
              </w:tc>
            </w:tr>
            <w:tr w:rsidR="00A65172" w:rsidRPr="00483357" w:rsidTr="00B27E69">
              <w:trPr>
                <w:jc w:val="center"/>
              </w:trPr>
              <w:tc>
                <w:tcPr>
                  <w:tcW w:w="3544" w:type="dxa"/>
                </w:tcPr>
                <w:p w:rsidR="00A65172" w:rsidRPr="00483357" w:rsidRDefault="00C8046B" w:rsidP="00956ABE">
                  <w:pPr>
                    <w:spacing w:after="160" w:line="259" w:lineRule="auto"/>
                    <w:jc w:val="both"/>
                    <w:rPr>
                      <w:rFonts w:ascii="Times New Roman" w:hAnsi="Times New Roman" w:cs="Times New Roman"/>
                      <w:sz w:val="28"/>
                      <w:szCs w:val="28"/>
                    </w:rPr>
                  </w:pPr>
                  <w:r w:rsidRPr="00C8046B">
                    <w:rPr>
                      <w:rFonts w:ascii="Times New Roman" w:hAnsi="Times New Roman" w:cs="Times New Roman"/>
                      <w:sz w:val="28"/>
                      <w:szCs w:val="28"/>
                    </w:rPr>
                    <w:t>94. Publisko kultūras un mantojuma vērtību aizsardzība, pilnveidošana un popularizēšana</w:t>
                  </w:r>
                </w:p>
              </w:tc>
              <w:tc>
                <w:tcPr>
                  <w:tcW w:w="1549" w:type="dxa"/>
                </w:tcPr>
                <w:p w:rsidR="00D521A4" w:rsidRPr="00483357" w:rsidRDefault="00C8046B" w:rsidP="00D521A4">
                  <w:pPr>
                    <w:spacing w:after="160" w:line="259" w:lineRule="auto"/>
                    <w:jc w:val="right"/>
                    <w:rPr>
                      <w:rFonts w:ascii="Times New Roman" w:hAnsi="Times New Roman" w:cs="Times New Roman"/>
                      <w:sz w:val="28"/>
                      <w:szCs w:val="28"/>
                    </w:rPr>
                  </w:pPr>
                  <w:r w:rsidRPr="00C8046B">
                    <w:rPr>
                      <w:rFonts w:ascii="Times New Roman" w:hAnsi="Times New Roman" w:cs="Times New Roman"/>
                      <w:sz w:val="28"/>
                      <w:szCs w:val="28"/>
                    </w:rPr>
                    <w:t>5 579 856</w:t>
                  </w:r>
                </w:p>
              </w:tc>
            </w:tr>
          </w:tbl>
          <w:p w:rsidR="00637CDF" w:rsidRPr="00483357" w:rsidRDefault="00637CDF" w:rsidP="00956ABE">
            <w:pPr>
              <w:spacing w:after="0" w:line="240" w:lineRule="auto"/>
              <w:ind w:left="138" w:firstLine="511"/>
              <w:jc w:val="both"/>
              <w:rPr>
                <w:rFonts w:ascii="Times New Roman" w:hAnsi="Times New Roman" w:cs="Times New Roman"/>
                <w:sz w:val="28"/>
                <w:szCs w:val="28"/>
              </w:rPr>
            </w:pPr>
          </w:p>
          <w:p w:rsidR="00D521A4" w:rsidRPr="00483357" w:rsidRDefault="00C8046B">
            <w:pPr>
              <w:spacing w:after="0" w:line="240" w:lineRule="auto"/>
              <w:ind w:left="138" w:firstLine="511"/>
              <w:jc w:val="both"/>
              <w:rPr>
                <w:rFonts w:ascii="Times New Roman" w:hAnsi="Times New Roman" w:cs="Times New Roman"/>
                <w:sz w:val="28"/>
                <w:szCs w:val="28"/>
              </w:rPr>
            </w:pPr>
            <w:r w:rsidRPr="00C8046B">
              <w:rPr>
                <w:rFonts w:ascii="Times New Roman" w:hAnsi="Times New Roman" w:cs="Times New Roman"/>
                <w:sz w:val="28"/>
                <w:szCs w:val="28"/>
              </w:rPr>
              <w:t xml:space="preserve">Noteikumu projekts nosaka 5.5.1.SAM ceturtās atlases kārtas ietvaros plānotos projekta līmeņa iznākuma rādītājus un 5.5.1.SAM kopējo sasniedzamo rezultāta rādītāju, kas attiecas uz visām četrām projektu iesniegumu atlases kārtām un kas sasniedzams līdz 2023.gada 31.decembrim. </w:t>
            </w:r>
          </w:p>
          <w:p w:rsidR="00D521A4" w:rsidRPr="00483357" w:rsidRDefault="00C8046B">
            <w:pPr>
              <w:autoSpaceDE w:val="0"/>
              <w:autoSpaceDN w:val="0"/>
              <w:adjustRightInd w:val="0"/>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5.5.1.SAM ceturtās atlases kārtas ietvaros sasniedzamie rādītāji:  </w:t>
            </w:r>
          </w:p>
          <w:tbl>
            <w:tblPr>
              <w:tblW w:w="5382" w:type="dxa"/>
              <w:jc w:val="center"/>
              <w:tblLayout w:type="fixed"/>
              <w:tblCellMar>
                <w:left w:w="0" w:type="dxa"/>
                <w:right w:w="0" w:type="dxa"/>
              </w:tblCellMar>
              <w:tblLook w:val="04A0"/>
            </w:tblPr>
            <w:tblGrid>
              <w:gridCol w:w="2689"/>
              <w:gridCol w:w="709"/>
              <w:gridCol w:w="709"/>
              <w:gridCol w:w="1275"/>
            </w:tblGrid>
            <w:tr w:rsidR="00A65172" w:rsidRPr="00483357" w:rsidTr="00637CDF">
              <w:trPr>
                <w:cantSplit/>
                <w:trHeight w:val="4480"/>
                <w:jc w:val="center"/>
              </w:trPr>
              <w:tc>
                <w:tcPr>
                  <w:tcW w:w="268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textDirection w:val="btLr"/>
                  <w:vAlign w:val="center"/>
                  <w:hideMark/>
                </w:tcPr>
                <w:p w:rsidR="00D521A4" w:rsidRPr="00483357" w:rsidRDefault="00C8046B">
                  <w:pPr>
                    <w:spacing w:after="0" w:line="240" w:lineRule="auto"/>
                    <w:ind w:left="175" w:hanging="62"/>
                    <w:jc w:val="center"/>
                    <w:rPr>
                      <w:rFonts w:ascii="Times New Roman" w:hAnsi="Times New Roman" w:cs="Times New Roman"/>
                      <w:bCs/>
                      <w:color w:val="000000"/>
                      <w:sz w:val="28"/>
                      <w:szCs w:val="28"/>
                    </w:rPr>
                  </w:pPr>
                  <w:r w:rsidRPr="00C8046B">
                    <w:rPr>
                      <w:rFonts w:ascii="Times New Roman" w:hAnsi="Times New Roman" w:cs="Times New Roman"/>
                      <w:bCs/>
                      <w:color w:val="000000"/>
                      <w:sz w:val="28"/>
                      <w:szCs w:val="28"/>
                    </w:rPr>
                    <w:t>Objekts</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rsidR="00D521A4" w:rsidRPr="00483357" w:rsidRDefault="00C8046B">
                  <w:pPr>
                    <w:spacing w:after="0" w:line="240" w:lineRule="auto"/>
                    <w:ind w:left="30"/>
                    <w:jc w:val="center"/>
                    <w:rPr>
                      <w:rFonts w:ascii="Times New Roman" w:hAnsi="Times New Roman" w:cs="Times New Roman"/>
                      <w:bCs/>
                      <w:color w:val="000000"/>
                      <w:sz w:val="28"/>
                      <w:szCs w:val="28"/>
                    </w:rPr>
                  </w:pPr>
                  <w:r w:rsidRPr="00C8046B">
                    <w:rPr>
                      <w:rFonts w:ascii="Times New Roman" w:hAnsi="Times New Roman" w:cs="Times New Roman"/>
                      <w:bCs/>
                      <w:color w:val="000000"/>
                      <w:sz w:val="28"/>
                      <w:szCs w:val="28"/>
                    </w:rPr>
                    <w:t>Atbalstīto dabas un kultūras mantojuma objektu skaits</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rsidR="00D521A4" w:rsidRPr="00483357" w:rsidRDefault="00C8046B">
                  <w:pPr>
                    <w:spacing w:after="0" w:line="240" w:lineRule="auto"/>
                    <w:ind w:left="83"/>
                    <w:jc w:val="center"/>
                    <w:rPr>
                      <w:rFonts w:ascii="Times New Roman" w:hAnsi="Times New Roman" w:cs="Times New Roman"/>
                      <w:bCs/>
                      <w:color w:val="000000"/>
                      <w:sz w:val="28"/>
                      <w:szCs w:val="28"/>
                    </w:rPr>
                  </w:pPr>
                  <w:r w:rsidRPr="00C8046B">
                    <w:rPr>
                      <w:rFonts w:ascii="Times New Roman" w:hAnsi="Times New Roman" w:cs="Times New Roman"/>
                      <w:bCs/>
                      <w:color w:val="000000"/>
                      <w:sz w:val="28"/>
                      <w:szCs w:val="28"/>
                    </w:rPr>
                    <w:t>Jaunradīto pakalpojumu skaits atbalstītajos kultūras un dabas mantojuma objektos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textDirection w:val="btLr"/>
                  <w:vAlign w:val="center"/>
                  <w:hideMark/>
                </w:tcPr>
                <w:p w:rsidR="00D521A4" w:rsidRPr="00483357" w:rsidRDefault="00C8046B">
                  <w:pPr>
                    <w:spacing w:after="0" w:line="240" w:lineRule="auto"/>
                    <w:ind w:left="3" w:firstLine="142"/>
                    <w:jc w:val="center"/>
                    <w:rPr>
                      <w:rFonts w:ascii="Times New Roman" w:hAnsi="Times New Roman" w:cs="Times New Roman"/>
                      <w:bCs/>
                      <w:color w:val="000000"/>
                      <w:sz w:val="28"/>
                      <w:szCs w:val="28"/>
                    </w:rPr>
                  </w:pPr>
                  <w:r w:rsidRPr="00C8046B">
                    <w:rPr>
                      <w:rFonts w:ascii="Times New Roman" w:hAnsi="Times New Roman" w:cs="Times New Roman"/>
                      <w:bCs/>
                      <w:color w:val="000000"/>
                      <w:sz w:val="28"/>
                      <w:szCs w:val="28"/>
                    </w:rPr>
                    <w:t>Atbalstīto kultūras un dabas mantojuma objektu un tūrisma objektu apmeklējumu skaita paredzamais pieaugums, salīdzinot ar 2015.gadu</w:t>
                  </w:r>
                </w:p>
              </w:tc>
            </w:tr>
            <w:tr w:rsidR="00A65172" w:rsidRPr="00483357" w:rsidTr="00637CDF">
              <w:trPr>
                <w:trHeight w:val="300"/>
                <w:jc w:val="center"/>
              </w:trPr>
              <w:tc>
                <w:tcPr>
                  <w:tcW w:w="2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65172" w:rsidRPr="00483357" w:rsidRDefault="00C8046B" w:rsidP="00956ABE">
                  <w:pPr>
                    <w:spacing w:after="0" w:line="240" w:lineRule="auto"/>
                    <w:ind w:left="62" w:hanging="62"/>
                    <w:rPr>
                      <w:rFonts w:ascii="Times New Roman" w:hAnsi="Times New Roman" w:cs="Times New Roman"/>
                      <w:bCs/>
                      <w:color w:val="000000"/>
                      <w:sz w:val="28"/>
                      <w:szCs w:val="28"/>
                    </w:rPr>
                  </w:pPr>
                  <w:r w:rsidRPr="00C8046B">
                    <w:rPr>
                      <w:rFonts w:ascii="Times New Roman" w:hAnsi="Times New Roman" w:cs="Times New Roman"/>
                      <w:bCs/>
                      <w:color w:val="000000"/>
                      <w:sz w:val="28"/>
                      <w:szCs w:val="28"/>
                    </w:rPr>
                    <w:t>Koncertzāle „Lielā Ģilde”</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21A4" w:rsidRPr="00483357" w:rsidRDefault="00C8046B">
                  <w:pPr>
                    <w:spacing w:after="0" w:line="240" w:lineRule="auto"/>
                    <w:ind w:left="62" w:hanging="62"/>
                    <w:jc w:val="center"/>
                    <w:rPr>
                      <w:rFonts w:ascii="Times New Roman" w:hAnsi="Times New Roman" w:cs="Times New Roman"/>
                      <w:bCs/>
                      <w:color w:val="000000"/>
                      <w:sz w:val="28"/>
                      <w:szCs w:val="28"/>
                    </w:rPr>
                  </w:pPr>
                  <w:r w:rsidRPr="00C8046B">
                    <w:rPr>
                      <w:rFonts w:ascii="Times New Roman" w:hAnsi="Times New Roman" w:cs="Times New Roman"/>
                      <w:bCs/>
                      <w:color w:val="000000"/>
                      <w:sz w:val="28"/>
                      <w:szCs w:val="28"/>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21A4" w:rsidRPr="00483357" w:rsidRDefault="00C8046B">
                  <w:pPr>
                    <w:spacing w:after="0" w:line="240" w:lineRule="auto"/>
                    <w:ind w:left="62" w:hanging="62"/>
                    <w:jc w:val="center"/>
                    <w:rPr>
                      <w:rFonts w:ascii="Times New Roman" w:hAnsi="Times New Roman" w:cs="Times New Roman"/>
                      <w:color w:val="000000"/>
                      <w:sz w:val="28"/>
                      <w:szCs w:val="28"/>
                    </w:rPr>
                  </w:pPr>
                  <w:r w:rsidRPr="00C8046B">
                    <w:rPr>
                      <w:rFonts w:ascii="Times New Roman" w:hAnsi="Times New Roman" w:cs="Times New Roman"/>
                      <w:color w:val="000000"/>
                      <w:sz w:val="28"/>
                      <w:szCs w:val="28"/>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521A4" w:rsidRPr="00483357" w:rsidRDefault="00C8046B">
                  <w:pPr>
                    <w:spacing w:after="0" w:line="240" w:lineRule="auto"/>
                    <w:ind w:left="62" w:hanging="62"/>
                    <w:jc w:val="center"/>
                    <w:rPr>
                      <w:rFonts w:ascii="Times New Roman" w:hAnsi="Times New Roman" w:cs="Times New Roman"/>
                      <w:color w:val="000000"/>
                      <w:sz w:val="28"/>
                      <w:szCs w:val="28"/>
                    </w:rPr>
                  </w:pPr>
                  <w:r w:rsidRPr="00C8046B">
                    <w:rPr>
                      <w:rFonts w:ascii="Times New Roman" w:hAnsi="Times New Roman" w:cs="Times New Roman"/>
                      <w:color w:val="000000"/>
                      <w:sz w:val="28"/>
                      <w:szCs w:val="28"/>
                    </w:rPr>
                    <w:t xml:space="preserve">6 000 </w:t>
                  </w:r>
                </w:p>
              </w:tc>
            </w:tr>
            <w:tr w:rsidR="00A65172" w:rsidRPr="00483357" w:rsidTr="00637CDF">
              <w:trPr>
                <w:trHeight w:val="300"/>
                <w:jc w:val="center"/>
              </w:trPr>
              <w:tc>
                <w:tcPr>
                  <w:tcW w:w="268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rsidR="00A65172" w:rsidRPr="00483357" w:rsidRDefault="00C8046B" w:rsidP="00956ABE">
                  <w:pPr>
                    <w:spacing w:after="0" w:line="240" w:lineRule="auto"/>
                    <w:ind w:left="62" w:hanging="62"/>
                    <w:rPr>
                      <w:rFonts w:ascii="Times New Roman" w:hAnsi="Times New Roman" w:cs="Times New Roman"/>
                      <w:bCs/>
                      <w:color w:val="000000"/>
                      <w:sz w:val="28"/>
                      <w:szCs w:val="28"/>
                    </w:rPr>
                  </w:pPr>
                  <w:r w:rsidRPr="00C8046B">
                    <w:rPr>
                      <w:rFonts w:ascii="Times New Roman" w:hAnsi="Times New Roman" w:cs="Times New Roman"/>
                      <w:bCs/>
                      <w:color w:val="000000"/>
                      <w:sz w:val="28"/>
                      <w:szCs w:val="28"/>
                    </w:rPr>
                    <w:t>„Dailes teātra skvēra, Brīvības ielā 75, Rīgā, atjaunošana”</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521A4" w:rsidRPr="00483357" w:rsidRDefault="00C8046B">
                  <w:pPr>
                    <w:spacing w:after="0" w:line="240" w:lineRule="auto"/>
                    <w:ind w:left="62" w:hanging="62"/>
                    <w:jc w:val="center"/>
                    <w:rPr>
                      <w:rFonts w:ascii="Times New Roman" w:hAnsi="Times New Roman" w:cs="Times New Roman"/>
                      <w:bCs/>
                      <w:color w:val="000000"/>
                      <w:sz w:val="28"/>
                      <w:szCs w:val="28"/>
                    </w:rPr>
                  </w:pPr>
                  <w:r w:rsidRPr="00C8046B">
                    <w:rPr>
                      <w:rFonts w:ascii="Times New Roman" w:hAnsi="Times New Roman" w:cs="Times New Roman"/>
                      <w:bCs/>
                      <w:color w:val="000000"/>
                      <w:sz w:val="28"/>
                      <w:szCs w:val="28"/>
                    </w:rPr>
                    <w:t>1</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521A4" w:rsidRPr="00483357" w:rsidRDefault="00C8046B">
                  <w:pPr>
                    <w:spacing w:after="0" w:line="240" w:lineRule="auto"/>
                    <w:ind w:left="62" w:hanging="62"/>
                    <w:jc w:val="center"/>
                    <w:rPr>
                      <w:rFonts w:ascii="Times New Roman" w:hAnsi="Times New Roman" w:cs="Times New Roman"/>
                      <w:sz w:val="28"/>
                      <w:szCs w:val="28"/>
                    </w:rPr>
                  </w:pPr>
                  <w:r w:rsidRPr="00C8046B">
                    <w:rPr>
                      <w:rFonts w:ascii="Times New Roman" w:hAnsi="Times New Roman" w:cs="Times New Roman"/>
                      <w:sz w:val="28"/>
                      <w:szCs w:val="28"/>
                    </w:rPr>
                    <w:t>1</w:t>
                  </w:r>
                </w:p>
              </w:tc>
              <w:tc>
                <w:tcPr>
                  <w:tcW w:w="1275"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D521A4" w:rsidRPr="00483357" w:rsidRDefault="00C8046B">
                  <w:pPr>
                    <w:spacing w:after="0" w:line="240" w:lineRule="auto"/>
                    <w:ind w:left="62" w:hanging="62"/>
                    <w:jc w:val="center"/>
                    <w:rPr>
                      <w:rFonts w:ascii="Times New Roman" w:hAnsi="Times New Roman" w:cs="Times New Roman"/>
                      <w:color w:val="000000"/>
                      <w:sz w:val="28"/>
                      <w:szCs w:val="28"/>
                    </w:rPr>
                  </w:pPr>
                  <w:r w:rsidRPr="00C8046B">
                    <w:rPr>
                      <w:rFonts w:ascii="Times New Roman" w:hAnsi="Times New Roman" w:cs="Times New Roman"/>
                      <w:color w:val="000000"/>
                      <w:sz w:val="28"/>
                      <w:szCs w:val="28"/>
                    </w:rPr>
                    <w:t>3 000</w:t>
                  </w:r>
                </w:p>
              </w:tc>
            </w:tr>
            <w:tr w:rsidR="00AD3BF3" w:rsidRPr="00483357" w:rsidTr="00637CDF">
              <w:trPr>
                <w:trHeight w:val="300"/>
                <w:jc w:val="center"/>
              </w:trPr>
              <w:tc>
                <w:tcPr>
                  <w:tcW w:w="268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AD3BF3" w:rsidRPr="00483357" w:rsidRDefault="00C8046B" w:rsidP="00956ABE">
                  <w:pPr>
                    <w:spacing w:after="0" w:line="240" w:lineRule="auto"/>
                    <w:rPr>
                      <w:rFonts w:ascii="Times New Roman" w:hAnsi="Times New Roman" w:cs="Times New Roman"/>
                      <w:bCs/>
                      <w:color w:val="000000"/>
                      <w:sz w:val="28"/>
                      <w:szCs w:val="28"/>
                    </w:rPr>
                  </w:pPr>
                  <w:r w:rsidRPr="00C8046B">
                    <w:rPr>
                      <w:rFonts w:ascii="Times New Roman" w:hAnsi="Times New Roman" w:cs="Times New Roman"/>
                      <w:bCs/>
                      <w:color w:val="000000"/>
                      <w:sz w:val="28"/>
                      <w:szCs w:val="28"/>
                    </w:rPr>
                    <w:t>„Strēlnieku laukuma skvēra atjaunošana”</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21A4" w:rsidRPr="00483357" w:rsidRDefault="00D521A4" w:rsidP="00A53DC6">
                  <w:pPr>
                    <w:pStyle w:val="Sarakstarindkopa"/>
                    <w:numPr>
                      <w:ilvl w:val="0"/>
                      <w:numId w:val="49"/>
                    </w:numPr>
                    <w:spacing w:after="0" w:line="240" w:lineRule="auto"/>
                    <w:jc w:val="center"/>
                    <w:rPr>
                      <w:rFonts w:ascii="Times New Roman" w:hAnsi="Times New Roman" w:cs="Times New Roman"/>
                      <w:bCs/>
                      <w:color w:val="000000"/>
                      <w:sz w:val="28"/>
                      <w:szCs w:val="28"/>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21A4" w:rsidRPr="00483357" w:rsidRDefault="00C8046B">
                  <w:pPr>
                    <w:spacing w:after="0" w:line="240" w:lineRule="auto"/>
                    <w:ind w:left="62" w:hanging="62"/>
                    <w:jc w:val="center"/>
                    <w:rPr>
                      <w:rFonts w:ascii="Times New Roman" w:hAnsi="Times New Roman" w:cs="Times New Roman"/>
                      <w:sz w:val="28"/>
                      <w:szCs w:val="28"/>
                    </w:rPr>
                  </w:pPr>
                  <w:r w:rsidRPr="00C8046B">
                    <w:rPr>
                      <w:rFonts w:ascii="Times New Roman"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521A4" w:rsidRPr="00483357" w:rsidRDefault="00C8046B" w:rsidP="00A53DC6">
                  <w:pPr>
                    <w:spacing w:after="0" w:line="240" w:lineRule="auto"/>
                    <w:jc w:val="center"/>
                    <w:rPr>
                      <w:rFonts w:ascii="Times New Roman" w:hAnsi="Times New Roman" w:cs="Times New Roman"/>
                      <w:color w:val="000000"/>
                      <w:sz w:val="28"/>
                      <w:szCs w:val="28"/>
                    </w:rPr>
                  </w:pPr>
                  <w:r w:rsidRPr="00C8046B">
                    <w:rPr>
                      <w:rFonts w:ascii="Times New Roman" w:hAnsi="Times New Roman" w:cs="Times New Roman"/>
                      <w:color w:val="000000"/>
                      <w:sz w:val="28"/>
                      <w:szCs w:val="28"/>
                    </w:rPr>
                    <w:t>3 000</w:t>
                  </w:r>
                </w:p>
              </w:tc>
            </w:tr>
          </w:tbl>
          <w:p w:rsidR="00A65172" w:rsidRPr="00483357" w:rsidRDefault="00A65172" w:rsidP="00956ABE">
            <w:pPr>
              <w:autoSpaceDE w:val="0"/>
              <w:autoSpaceDN w:val="0"/>
              <w:adjustRightInd w:val="0"/>
              <w:spacing w:after="0" w:line="240" w:lineRule="auto"/>
              <w:ind w:left="9" w:firstLine="567"/>
              <w:jc w:val="both"/>
              <w:rPr>
                <w:rFonts w:ascii="Times New Roman" w:eastAsia="Times New Roman" w:hAnsi="Times New Roman" w:cs="Times New Roman"/>
                <w:sz w:val="28"/>
                <w:szCs w:val="28"/>
                <w:lang w:eastAsia="lv-LV"/>
              </w:rPr>
            </w:pPr>
          </w:p>
          <w:p w:rsidR="001F45DC" w:rsidRPr="00483357" w:rsidRDefault="00C8046B" w:rsidP="001F45DC">
            <w:pPr>
              <w:spacing w:after="0" w:line="240" w:lineRule="auto"/>
              <w:ind w:firstLine="567"/>
              <w:jc w:val="both"/>
              <w:outlineLvl w:val="0"/>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xml:space="preserve">Noteikumu projekts nosaka avansa piešķiršanas nosacījumus un avansa apmēru, paredzot, ka avansa un starpposma maksājumu kopsumma nepārsniedz 90 procentus no projektam piešķirtā ERAF finansējuma un valsts budžeta līdzfinansējuma kopsummas. Šāds avansa apjoms pieļaujams, ņemot vērā nepieciešamību nodrošināt pēc iespējas ātrāku projektu īstenošanas uzsākšanu. Ir pieļaujams, ka par projekta būvniecības darbībām projekta iesnieguma iesniegšanas brīdī jau ir noslēgts būvdarbu līgums un uzsākti būvdarbi, nosakot, </w:t>
            </w:r>
            <w:r w:rsidRPr="00C8046B">
              <w:rPr>
                <w:rFonts w:ascii="Times New Roman" w:eastAsia="Times New Roman" w:hAnsi="Times New Roman" w:cs="Times New Roman"/>
                <w:iCs/>
                <w:sz w:val="28"/>
                <w:szCs w:val="28"/>
                <w:lang w:eastAsia="lv-LV"/>
              </w:rPr>
              <w:lastRenderedPageBreak/>
              <w:t>ka izdevumi ir attiecināmi no noteikumu projekta spēkā stāšanās dienas, izņemot projekta pamatojošās dokumentācijas sagatavošanas izmaksas, kas ir uzskatāmas par attiecināmām finansēšanai no ERAF un valsts budžeta finansējuma, ja tās ir radušās ne agrāk kā 2014.gada 1.janvārī.</w:t>
            </w:r>
            <w:r w:rsidRPr="00C8046B">
              <w:rPr>
                <w:rFonts w:ascii="Times New Roman" w:hAnsi="Times New Roman" w:cs="Times New Roman"/>
                <w:color w:val="000000" w:themeColor="text1"/>
                <w:sz w:val="28"/>
                <w:szCs w:val="28"/>
              </w:rPr>
              <w:t xml:space="preserve"> </w:t>
            </w:r>
          </w:p>
          <w:p w:rsidR="00D521A4" w:rsidRPr="00483357" w:rsidRDefault="00C8046B" w:rsidP="00D521A4">
            <w:pPr>
              <w:spacing w:after="0" w:line="240" w:lineRule="auto"/>
              <w:ind w:firstLine="567"/>
              <w:jc w:val="both"/>
              <w:outlineLvl w:val="0"/>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Avansa apjoms katram projektam ir nosakāms individuālu. Nosakot projekta avansa apmēru, ņem vērā finansējuma saņēmēja spēja sešu mēnešu laikā pēc avansa maksājuma saņemšanas iesniegt sadarbības iestādē maksājuma pieprasījumu piešķirtā avansa maksājuma apmērā. Avansu var izmaksāt vairākos maksājumos.</w:t>
            </w:r>
          </w:p>
          <w:p w:rsidR="00D521A4" w:rsidRPr="00483357" w:rsidRDefault="00C8046B" w:rsidP="00D521A4">
            <w:pPr>
              <w:spacing w:after="0" w:line="240" w:lineRule="auto"/>
              <w:ind w:firstLine="567"/>
              <w:jc w:val="both"/>
              <w:outlineLvl w:val="0"/>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xml:space="preserve">Noteikumu projekts nosaka, ka 5.5.1.SAM ceturtās atlases kārtas ietvaros ir atbalstāmas darbības, kas sekmē 5.5.1.SAM un uzraudzības rādītāju sasniegšanu: </w:t>
            </w:r>
          </w:p>
          <w:p w:rsidR="00D521A4" w:rsidRPr="00483357" w:rsidRDefault="00C8046B" w:rsidP="00D521A4">
            <w:pPr>
              <w:pStyle w:val="Sarakstarindkopa"/>
              <w:numPr>
                <w:ilvl w:val="0"/>
                <w:numId w:val="45"/>
              </w:numPr>
              <w:tabs>
                <w:tab w:val="left" w:pos="993"/>
              </w:tabs>
              <w:spacing w:after="0" w:line="240" w:lineRule="auto"/>
              <w:ind w:left="357" w:hanging="357"/>
              <w:jc w:val="both"/>
              <w:outlineLvl w:val="0"/>
              <w:rPr>
                <w:rFonts w:ascii="Times New Roman" w:hAnsi="Times New Roman" w:cs="Times New Roman"/>
                <w:color w:val="000000" w:themeColor="text1"/>
                <w:sz w:val="28"/>
                <w:szCs w:val="28"/>
              </w:rPr>
            </w:pPr>
            <w:r w:rsidRPr="00C8046B">
              <w:rPr>
                <w:rFonts w:ascii="Times New Roman" w:hAnsi="Times New Roman" w:cs="Times New Roman"/>
                <w:color w:val="000000" w:themeColor="text1"/>
                <w:sz w:val="28"/>
                <w:szCs w:val="28"/>
              </w:rPr>
              <w:t>valsts nozīmes arhitektūras, arheoloģijas, vēstures, kā arī pilsētbūvniecības pieminekļu atjaunošana, konservācija, pārbūve vai restaurācija;</w:t>
            </w:r>
          </w:p>
          <w:p w:rsidR="00D521A4" w:rsidRPr="00483357" w:rsidRDefault="00C8046B" w:rsidP="00D521A4">
            <w:pPr>
              <w:pStyle w:val="Sarakstarindkopa"/>
              <w:numPr>
                <w:ilvl w:val="0"/>
                <w:numId w:val="45"/>
              </w:numPr>
              <w:tabs>
                <w:tab w:val="left" w:pos="993"/>
              </w:tabs>
              <w:spacing w:after="0" w:line="240" w:lineRule="auto"/>
              <w:ind w:left="357" w:hanging="357"/>
              <w:jc w:val="both"/>
              <w:outlineLvl w:val="0"/>
              <w:rPr>
                <w:rFonts w:ascii="Times New Roman" w:hAnsi="Times New Roman" w:cs="Times New Roman"/>
                <w:color w:val="000000" w:themeColor="text1"/>
                <w:sz w:val="28"/>
                <w:szCs w:val="28"/>
              </w:rPr>
            </w:pPr>
            <w:r w:rsidRPr="00C8046B">
              <w:rPr>
                <w:rFonts w:ascii="Times New Roman" w:hAnsi="Times New Roman" w:cs="Times New Roman"/>
                <w:color w:val="000000" w:themeColor="text1"/>
                <w:sz w:val="28"/>
                <w:szCs w:val="28"/>
              </w:rPr>
              <w:t>ar kultūras mantojumu saistītās infrastruktūras būvju atjaunošana, konservācija, pārbūve, restaurācija vai jaunu infrastruktūras būvju būvniecība un publiskās ārtelpas attīstīšana atbalstāmo objektu apkārtnē, kas ir vērsta uz kultūras mantojuma saglabāšanu, aizsardzību un attīstību;</w:t>
            </w:r>
          </w:p>
          <w:p w:rsidR="00D521A4" w:rsidRPr="00483357" w:rsidRDefault="00C8046B" w:rsidP="00D521A4">
            <w:pPr>
              <w:pStyle w:val="Sarakstarindkopa"/>
              <w:numPr>
                <w:ilvl w:val="0"/>
                <w:numId w:val="45"/>
              </w:numPr>
              <w:tabs>
                <w:tab w:val="left" w:pos="993"/>
              </w:tabs>
              <w:spacing w:after="0" w:line="240" w:lineRule="auto"/>
              <w:ind w:left="357" w:hanging="357"/>
              <w:jc w:val="both"/>
              <w:outlineLvl w:val="0"/>
              <w:rPr>
                <w:rFonts w:ascii="Times New Roman" w:hAnsi="Times New Roman" w:cs="Times New Roman"/>
                <w:color w:val="000000" w:themeColor="text1"/>
                <w:sz w:val="28"/>
                <w:szCs w:val="28"/>
              </w:rPr>
            </w:pPr>
            <w:r w:rsidRPr="00C8046B">
              <w:rPr>
                <w:rFonts w:ascii="Times New Roman" w:hAnsi="Times New Roman" w:cs="Times New Roman"/>
                <w:color w:val="000000" w:themeColor="text1"/>
                <w:sz w:val="28"/>
                <w:szCs w:val="28"/>
              </w:rPr>
              <w:t>jaunu pakalpojumu izveide, paplašinot kultūras mantojuma saturisko piedāvājumu;</w:t>
            </w:r>
          </w:p>
          <w:p w:rsidR="00D521A4" w:rsidRPr="00483357" w:rsidRDefault="00C8046B" w:rsidP="00D521A4">
            <w:pPr>
              <w:pStyle w:val="Sarakstarindkopa"/>
              <w:numPr>
                <w:ilvl w:val="0"/>
                <w:numId w:val="45"/>
              </w:numPr>
              <w:tabs>
                <w:tab w:val="left" w:pos="993"/>
              </w:tabs>
              <w:spacing w:after="0" w:line="240" w:lineRule="auto"/>
              <w:ind w:left="357" w:hanging="357"/>
              <w:jc w:val="both"/>
              <w:outlineLvl w:val="0"/>
              <w:rPr>
                <w:rFonts w:ascii="Times New Roman" w:hAnsi="Times New Roman" w:cs="Times New Roman"/>
                <w:color w:val="000000" w:themeColor="text1"/>
                <w:sz w:val="28"/>
                <w:szCs w:val="28"/>
              </w:rPr>
            </w:pPr>
            <w:r w:rsidRPr="00C8046B">
              <w:rPr>
                <w:rFonts w:ascii="Times New Roman" w:hAnsi="Times New Roman" w:cs="Times New Roman"/>
                <w:color w:val="000000" w:themeColor="text1"/>
                <w:sz w:val="28"/>
                <w:szCs w:val="28"/>
              </w:rPr>
              <w:t>projekta vadības nodrošināšana;</w:t>
            </w:r>
          </w:p>
          <w:p w:rsidR="00D521A4" w:rsidRPr="00483357" w:rsidRDefault="00C8046B" w:rsidP="00D521A4">
            <w:pPr>
              <w:pStyle w:val="Sarakstarindkopa"/>
              <w:numPr>
                <w:ilvl w:val="0"/>
                <w:numId w:val="45"/>
              </w:numPr>
              <w:tabs>
                <w:tab w:val="left" w:pos="993"/>
              </w:tabs>
              <w:spacing w:after="0" w:line="240" w:lineRule="auto"/>
              <w:ind w:left="357" w:hanging="357"/>
              <w:jc w:val="both"/>
              <w:outlineLvl w:val="0"/>
              <w:rPr>
                <w:rFonts w:ascii="Times New Roman" w:hAnsi="Times New Roman" w:cs="Times New Roman"/>
                <w:color w:val="000000" w:themeColor="text1"/>
                <w:sz w:val="28"/>
                <w:szCs w:val="28"/>
              </w:rPr>
            </w:pPr>
            <w:r w:rsidRPr="00C8046B">
              <w:rPr>
                <w:rFonts w:ascii="Times New Roman" w:hAnsi="Times New Roman" w:cs="Times New Roman"/>
                <w:color w:val="000000" w:themeColor="text1"/>
                <w:sz w:val="28"/>
                <w:szCs w:val="28"/>
              </w:rPr>
              <w:t>publicitātes pasākumi par projekta īstenošanu.</w:t>
            </w:r>
          </w:p>
          <w:p w:rsidR="00D521A4" w:rsidRPr="00483357" w:rsidRDefault="00C8046B" w:rsidP="00D521A4">
            <w:pPr>
              <w:spacing w:after="0" w:line="240" w:lineRule="auto"/>
              <w:ind w:firstLine="567"/>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Noteikumu projektā paredzētas attiecināmās izmaksas, kas nepieciešamas projektā plānoto darbību īstenošanai.</w:t>
            </w:r>
            <w:r w:rsidRPr="00C8046B">
              <w:rPr>
                <w:rFonts w:ascii="Times New Roman" w:hAnsi="Times New Roman" w:cs="Times New Roman"/>
                <w:sz w:val="28"/>
                <w:szCs w:val="28"/>
              </w:rPr>
              <w:t> </w:t>
            </w:r>
            <w:r w:rsidRPr="00C8046B">
              <w:rPr>
                <w:rFonts w:ascii="Times New Roman" w:eastAsia="Times New Roman" w:hAnsi="Times New Roman" w:cs="Times New Roman"/>
                <w:iCs/>
                <w:sz w:val="28"/>
                <w:szCs w:val="28"/>
                <w:lang w:eastAsia="lv-LV"/>
              </w:rPr>
              <w:t xml:space="preserve">Attiecināmajās izmaksās ir iekļaujamas projekta vadības personāla atlīdzības izmaksas, projekta pamatojošās dokumentācijas sagatavošanas izmaksas, būvdarbu izmaksas, telpu aprīkošana un </w:t>
            </w:r>
            <w:r w:rsidRPr="00C8046B">
              <w:rPr>
                <w:rFonts w:ascii="Times New Roman" w:eastAsia="Times New Roman" w:hAnsi="Times New Roman" w:cs="Times New Roman"/>
                <w:iCs/>
                <w:sz w:val="28"/>
                <w:szCs w:val="28"/>
                <w:lang w:eastAsia="lv-LV"/>
              </w:rPr>
              <w:lastRenderedPageBreak/>
              <w:t>pielāgošana pakalpojumu sniegšanai, ar kultūras mantojumu saistītās iekštelpu un ārtelpu ekspozīcijas izmaksas, aprīkojuma iegādes, uzstādīšanas un restaurācijas izmaksas, izmaksas, kas saistītas ar būves vai tās daļas nodošanu ekspluatācijā; ar projekta darbībām tieši saistīto publicitātes pasākumu izmaksas un pievienotās vērtības nodokļa maksājumi.</w:t>
            </w:r>
          </w:p>
          <w:p w:rsidR="00276711" w:rsidRPr="00483357" w:rsidRDefault="00C8046B" w:rsidP="00276711">
            <w:pPr>
              <w:spacing w:after="0" w:line="240" w:lineRule="auto"/>
              <w:ind w:firstLine="567"/>
              <w:jc w:val="both"/>
              <w:rPr>
                <w:rFonts w:ascii="Times New Roman" w:hAnsi="Times New Roman" w:cs="Times New Roman"/>
                <w:sz w:val="28"/>
                <w:szCs w:val="28"/>
              </w:rPr>
            </w:pPr>
            <w:r w:rsidRPr="00C8046B">
              <w:rPr>
                <w:rFonts w:ascii="Times New Roman" w:hAnsi="Times New Roman" w:cs="Times New Roman"/>
                <w:color w:val="000000"/>
                <w:sz w:val="28"/>
                <w:szCs w:val="28"/>
              </w:rPr>
              <w:t>Izstrādājot Noteikumu projektu, ir ņemtas vērā ar valsts atbalsta komercdarbībai saņemšanu saistītās normas.</w:t>
            </w:r>
            <w:r w:rsidRPr="00C8046B">
              <w:rPr>
                <w:rFonts w:ascii="Times New Roman" w:hAnsi="Times New Roman" w:cs="Times New Roman"/>
                <w:sz w:val="28"/>
                <w:szCs w:val="28"/>
              </w:rPr>
              <w:t xml:space="preserve"> Noteikumu projekta ietvaros ir pieļaujams valsts atbalsts komercdarbībai saskaņā ar Komisijas 2014.gada 17.jūnija regulas (ES) Nr.651/2014, ar ko noteiktas atbalsta kategorijas atzīst par saderīgām ar iekšējo tirgu, piemērojot Līguma 107. un 108.pantu (turpmāk – Komisijas regula Nr.651/2014) 53.pantu.</w:t>
            </w:r>
          </w:p>
          <w:p w:rsidR="00D521A4" w:rsidRPr="00483357" w:rsidRDefault="00C8046B" w:rsidP="00D521A4">
            <w:pPr>
              <w:spacing w:after="0" w:line="240" w:lineRule="auto"/>
              <w:ind w:firstLine="567"/>
              <w:jc w:val="both"/>
              <w:rPr>
                <w:rFonts w:ascii="Times New Roman" w:hAnsi="Times New Roman" w:cs="Times New Roman"/>
                <w:sz w:val="28"/>
                <w:szCs w:val="28"/>
              </w:rPr>
            </w:pPr>
            <w:r w:rsidRPr="00C8046B">
              <w:rPr>
                <w:rFonts w:ascii="Times New Roman" w:hAnsi="Times New Roman" w:cs="Times New Roman"/>
                <w:sz w:val="28"/>
                <w:szCs w:val="28"/>
              </w:rPr>
              <w:t>Noteikumu projektā noteikti nosacījumi, kurus nepieciešams izvērtēt, sniedzot valsts atbalstu, tai skaitā piemērojamā valsts atbalsta robežvērtība, specifiskie nosacījumi Komisijas regula Nr.651/2014 konkrētā mērķa ietvaros noteiktām atbalstāmajām darbībām un nozarēm, grūtībās nonākušu uzņēmumu definīcija, nosacījumi par atbalsta summēšanu (</w:t>
            </w:r>
            <w:proofErr w:type="spellStart"/>
            <w:r w:rsidRPr="00C8046B">
              <w:rPr>
                <w:rFonts w:ascii="Times New Roman" w:hAnsi="Times New Roman" w:cs="Times New Roman"/>
                <w:sz w:val="28"/>
                <w:szCs w:val="28"/>
              </w:rPr>
              <w:t>kumulēšanu</w:t>
            </w:r>
            <w:proofErr w:type="spellEnd"/>
            <w:r w:rsidRPr="00C8046B">
              <w:rPr>
                <w:rFonts w:ascii="Times New Roman" w:hAnsi="Times New Roman" w:cs="Times New Roman"/>
                <w:sz w:val="28"/>
                <w:szCs w:val="28"/>
              </w:rPr>
              <w:t>) ar citu valsta atbalstu, lēmuma pieņemšanas termiņš un citi nosacījumi.</w:t>
            </w:r>
          </w:p>
          <w:p w:rsidR="00276711" w:rsidRPr="00483357" w:rsidRDefault="00C8046B" w:rsidP="0004749F">
            <w:pPr>
              <w:spacing w:after="0" w:line="240" w:lineRule="auto"/>
              <w:ind w:firstLine="646"/>
              <w:jc w:val="both"/>
              <w:rPr>
                <w:rFonts w:ascii="Times New Roman" w:hAnsi="Times New Roman" w:cs="Times New Roman"/>
                <w:sz w:val="28"/>
                <w:szCs w:val="28"/>
              </w:rPr>
            </w:pPr>
            <w:r w:rsidRPr="00C8046B">
              <w:rPr>
                <w:rFonts w:ascii="Times New Roman" w:hAnsi="Times New Roman" w:cs="Times New Roman"/>
                <w:sz w:val="28"/>
                <w:szCs w:val="28"/>
              </w:rPr>
              <w:t>Par kultūras jomas pakalpojuma sniedzēju uzskatāms tāds pakalpojuma sniedzējs, kas darbojas kultūras un kultūrvēsturiskā mantojuma saglabāšanas jomā. Atbilstoši „Komisijas paziņojuma par Līguma par Eiropas Savienības darbību 107.panta 1.punktā minēto valsts atbalsta jēdzienu”</w:t>
            </w:r>
            <w:r>
              <w:rPr>
                <w:rStyle w:val="Vresatsauce"/>
                <w:rFonts w:ascii="Times New Roman" w:hAnsi="Times New Roman" w:cs="Times New Roman"/>
                <w:sz w:val="28"/>
                <w:szCs w:val="28"/>
              </w:rPr>
              <w:footnoteReference w:id="2"/>
            </w:r>
            <w:r w:rsidRPr="00C8046B">
              <w:rPr>
                <w:rFonts w:ascii="Times New Roman" w:hAnsi="Times New Roman" w:cs="Times New Roman"/>
                <w:sz w:val="28"/>
                <w:szCs w:val="28"/>
              </w:rPr>
              <w:t xml:space="preserve"> 33. un 34.punktā iekļautajiem Eiropas Komisijas skaidrojumiem, pamatojoties uz Eiropas Savienības Tiesu praksi, kultūras un kultūrvēsturiskā mantojuma saglabāšanas jomā ietilpst ļoti plašs mērķu un darbību loks, tostarp muzeji, arhīvi, </w:t>
            </w:r>
            <w:r w:rsidRPr="00C8046B">
              <w:rPr>
                <w:rFonts w:ascii="Times New Roman" w:hAnsi="Times New Roman" w:cs="Times New Roman"/>
                <w:sz w:val="28"/>
                <w:szCs w:val="28"/>
              </w:rPr>
              <w:lastRenderedPageBreak/>
              <w:t xml:space="preserve">bibliotēkas, mākslas un kultūras centri vai telpas, teātri, operas nami, koncertzāles, arheoloģiskie objekti, pieminekļi, vēsturiskie objekti un celtnes, tradicionālās paražas un amatniecība, festivāli un izstādes, kā arī kultūras un mākslas izglītības pasākumi. </w:t>
            </w:r>
          </w:p>
          <w:p w:rsidR="00F163E0" w:rsidRPr="00483357" w:rsidRDefault="00C8046B" w:rsidP="0004749F">
            <w:pPr>
              <w:spacing w:after="0" w:line="240" w:lineRule="auto"/>
              <w:ind w:firstLine="646"/>
              <w:jc w:val="both"/>
              <w:rPr>
                <w:rFonts w:ascii="Times New Roman" w:hAnsi="Times New Roman" w:cs="Times New Roman"/>
                <w:sz w:val="28"/>
                <w:szCs w:val="28"/>
              </w:rPr>
            </w:pPr>
            <w:r w:rsidRPr="00C8046B">
              <w:rPr>
                <w:rFonts w:ascii="Times New Roman" w:hAnsi="Times New Roman" w:cs="Times New Roman"/>
                <w:sz w:val="28"/>
                <w:szCs w:val="28"/>
              </w:rPr>
              <w:t xml:space="preserve">Atbilstoši „Komisijas paziņojuma par Līguma par Eiropas Savienības darbību 107.panta 1.punktā minēto valsts atbalsta jēdzienu” ziņojumā norādītajam atsevišķas ar kultūru, kultūrvēsturiskā mantojuma saglabāšanu un dabas aizsardzību saistītas darbības var, ņemot vērā to īpašo raksturu, būt organizētas nekomerciāli un tādējādi būt tādas, kurām nav saimnieciska rakstura. Tādējādi to publiskais finansējums var nebūt valsts atbalsts. Eiropas Komisija uzskata, ka publiskā finansējuma piešķiršana kultūras vai kultūrvēsturiskā mantojuma saglabāšanas pasākumam, kas visai sabiedrībai pieejams bez maksas, kalpo tīri sociālam un kultūras mērķim, kam nav saimnieciska rakstura. Tāpat arī tad, ja no kultūras iestādes apmeklētājiem vai sabiedrībai pieejama kultūras, kultūrvēsturiskā mantojuma saglabāšanas vai dabas aizsardzības pasākuma dalībniekiem tiek prasīta samaksa, kas sedz tikai daļu no faktiskajām izmaksām, šim pasākumam tik un tā nav saimnieciska rakstura, jo šādu samaksu nevar uzskatīt par reālu atlīdzību par sniegto pakalpojumu. </w:t>
            </w:r>
          </w:p>
          <w:p w:rsidR="007C4E1F" w:rsidRPr="00483357" w:rsidRDefault="00C8046B" w:rsidP="0004749F">
            <w:pPr>
              <w:pStyle w:val="Default"/>
              <w:ind w:firstLine="720"/>
              <w:jc w:val="both"/>
              <w:rPr>
                <w:rFonts w:eastAsia="Times New Roman"/>
                <w:iCs/>
                <w:color w:val="auto"/>
                <w:sz w:val="28"/>
                <w:szCs w:val="28"/>
                <w:lang w:eastAsia="lv-LV"/>
              </w:rPr>
            </w:pPr>
            <w:r w:rsidRPr="00C8046B">
              <w:rPr>
                <w:rFonts w:eastAsia="Times New Roman"/>
                <w:iCs/>
                <w:color w:val="auto"/>
                <w:sz w:val="28"/>
                <w:szCs w:val="28"/>
                <w:lang w:eastAsia="lv-LV"/>
              </w:rPr>
              <w:t xml:space="preserve">Valsts atbalsta nosacījumu turpmākai piemērošanai kultūras nozares ietvaros pēc 2016.gada 21.novembra tikšanās Eiropas Komisija 2017.gada 14.februārī Finanšu ministrijai ir sniegusi papildus sekojošu skaidrojumu par </w:t>
            </w:r>
            <w:r w:rsidRPr="00C8046B">
              <w:rPr>
                <w:color w:val="auto"/>
                <w:sz w:val="28"/>
                <w:szCs w:val="28"/>
              </w:rPr>
              <w:t xml:space="preserve">„Komisijas paziņojuma par Līguma par Eiropas Savienības darbību 107.panta 1.punktā minēto valsts atbalsta jēdzienu” </w:t>
            </w:r>
            <w:r w:rsidRPr="00C8046B">
              <w:rPr>
                <w:rFonts w:eastAsia="Times New Roman"/>
                <w:iCs/>
                <w:color w:val="auto"/>
                <w:sz w:val="28"/>
                <w:szCs w:val="28"/>
                <w:lang w:eastAsia="lv-LV"/>
              </w:rPr>
              <w:t>34. un 35.punktā noteikto:</w:t>
            </w:r>
          </w:p>
          <w:p w:rsidR="00C8046B" w:rsidRDefault="00C8046B" w:rsidP="00C8046B">
            <w:pPr>
              <w:pStyle w:val="Default"/>
              <w:numPr>
                <w:ilvl w:val="0"/>
                <w:numId w:val="2"/>
              </w:numPr>
              <w:tabs>
                <w:tab w:val="left" w:pos="1134"/>
              </w:tabs>
              <w:ind w:left="284" w:hanging="284"/>
              <w:jc w:val="both"/>
              <w:rPr>
                <w:rFonts w:eastAsia="Times New Roman"/>
                <w:iCs/>
                <w:color w:val="auto"/>
                <w:sz w:val="28"/>
                <w:szCs w:val="28"/>
                <w:lang w:eastAsia="lv-LV"/>
              </w:rPr>
            </w:pPr>
            <w:r w:rsidRPr="00C8046B">
              <w:rPr>
                <w:rFonts w:eastAsia="Times New Roman"/>
                <w:iCs/>
                <w:color w:val="auto"/>
                <w:sz w:val="28"/>
                <w:szCs w:val="28"/>
                <w:lang w:eastAsia="lv-LV"/>
              </w:rPr>
              <w:t xml:space="preserve">ja no kultūras iestādes apmeklētājiem vai sabiedrībai pieejama kultūras vai kultūrvēsturiskā mantojuma saglabāšanas pasākuma dalībniekiem tiek prasīta </w:t>
            </w:r>
            <w:r w:rsidRPr="00C8046B">
              <w:rPr>
                <w:rFonts w:eastAsia="Times New Roman"/>
                <w:iCs/>
                <w:color w:val="auto"/>
                <w:sz w:val="28"/>
                <w:szCs w:val="28"/>
                <w:lang w:eastAsia="lv-LV"/>
              </w:rPr>
              <w:lastRenderedPageBreak/>
              <w:t xml:space="preserve">samaksa, kas sedz tikai daļu no faktiskajām izmaksām, šim pasākumam nav saimnieciska rakstura, jo šādu samaksu nevar uzskatīt par reālu atlīdzību par sniegto pakalpojumu. Komisijas ekspertu skaidrojumā – „daļa no faktiskajām izmaksām” ir ne vairāk kā 50 procenti no pašu ieņēmumiem pret kopējiem iestādes izdevumiem vai kultūras pasākuma/ kultūras pakalpojuma organizēšanas izdevumiem; </w:t>
            </w:r>
          </w:p>
          <w:p w:rsidR="00C8046B" w:rsidRDefault="00C8046B" w:rsidP="00C8046B">
            <w:pPr>
              <w:pStyle w:val="Default"/>
              <w:numPr>
                <w:ilvl w:val="0"/>
                <w:numId w:val="2"/>
              </w:numPr>
              <w:tabs>
                <w:tab w:val="left" w:pos="1418"/>
              </w:tabs>
              <w:ind w:left="284" w:hanging="284"/>
              <w:jc w:val="both"/>
              <w:rPr>
                <w:rFonts w:eastAsia="Times New Roman"/>
                <w:iCs/>
                <w:color w:val="auto"/>
                <w:sz w:val="28"/>
                <w:szCs w:val="28"/>
                <w:lang w:eastAsia="lv-LV"/>
              </w:rPr>
            </w:pPr>
            <w:r w:rsidRPr="00C8046B">
              <w:rPr>
                <w:rFonts w:eastAsia="Times New Roman"/>
                <w:iCs/>
                <w:color w:val="auto"/>
                <w:sz w:val="28"/>
                <w:szCs w:val="28"/>
                <w:lang w:eastAsia="lv-LV"/>
              </w:rPr>
              <w:t xml:space="preserve">savukārt attiecībā uz kultūras iestādēm un kultūras pasākumiem, kur pašu ieņēmumi (biļešu ieņēmumi, maksas pakalpojumu u.c. pašu ieņēmumi) pārsniedz 50procenti no faktiskajām izmaksām valsts atbalsts būtu jāsniedz saskaņā ar Regulas Nr.651/2014 53.pantu. </w:t>
            </w:r>
          </w:p>
          <w:p w:rsidR="00F163E0" w:rsidRPr="00483357" w:rsidRDefault="00C8046B" w:rsidP="0004749F">
            <w:pPr>
              <w:spacing w:after="0" w:line="240" w:lineRule="auto"/>
              <w:ind w:firstLine="646"/>
              <w:jc w:val="both"/>
              <w:rPr>
                <w:rFonts w:ascii="Times New Roman" w:hAnsi="Times New Roman" w:cs="Times New Roman"/>
                <w:sz w:val="28"/>
                <w:szCs w:val="28"/>
                <w:lang w:eastAsia="lv-LV"/>
              </w:rPr>
            </w:pPr>
            <w:r w:rsidRPr="00C8046B">
              <w:rPr>
                <w:rFonts w:ascii="Times New Roman" w:hAnsi="Times New Roman" w:cs="Times New Roman"/>
                <w:sz w:val="28"/>
                <w:szCs w:val="28"/>
              </w:rPr>
              <w:t xml:space="preserve">Savukārt </w:t>
            </w:r>
            <w:r w:rsidRPr="00C8046B">
              <w:rPr>
                <w:rFonts w:ascii="Times New Roman" w:eastAsia="Times New Roman" w:hAnsi="Times New Roman" w:cs="Times New Roman"/>
                <w:iCs/>
                <w:sz w:val="28"/>
                <w:szCs w:val="28"/>
                <w:lang w:eastAsia="lv-LV"/>
              </w:rPr>
              <w:t>jēdziens „kultūras mērķi un darbības”, minēts Komisijas regula Nr.651/2014, 53.panta 2.punktā.</w:t>
            </w:r>
          </w:p>
          <w:p w:rsidR="00276711" w:rsidRPr="00483357" w:rsidRDefault="00C8046B" w:rsidP="007C4E1F">
            <w:pPr>
              <w:spacing w:after="0" w:line="240" w:lineRule="auto"/>
              <w:ind w:firstLine="646"/>
              <w:jc w:val="both"/>
              <w:rPr>
                <w:rFonts w:ascii="Times New Roman" w:hAnsi="Times New Roman" w:cs="Times New Roman"/>
                <w:sz w:val="28"/>
                <w:szCs w:val="28"/>
              </w:rPr>
            </w:pPr>
            <w:r w:rsidRPr="00C8046B">
              <w:rPr>
                <w:rFonts w:ascii="Times New Roman" w:hAnsi="Times New Roman" w:cs="Times New Roman"/>
                <w:sz w:val="28"/>
                <w:szCs w:val="28"/>
              </w:rPr>
              <w:t>Saskaņā ar valsts atbalsta principiem ar jēdzienu „privātie līdzekļi” Noteikumu projekta kontekstā saprotam tādu finansiālu ieguldījumu no projekta iesniedzēja vai sadarbības partnera līdzekļiem - saimnieciskajiem resursiem vai ārējiem finanšu resursiem, kas nesatur nekādu publisko finansiālo atbalstu. Līdzekļi, kas ir brīvi no valsts atbalsta (tai skaitā nav saņemts valsts vai pašvaldību galvojums, vai valsts vai pašvaldības aizdevums uz atvieglotiem nosacījumiem) ir iegūti saimnieciskās darbības rezultātā vai piesaistīti kā aizņēmums (ārējais finansējums) uz tirgus nosacījumiem.</w:t>
            </w:r>
          </w:p>
          <w:p w:rsidR="00D521A4" w:rsidRPr="00483357" w:rsidRDefault="00C8046B" w:rsidP="00276711">
            <w:pPr>
              <w:pStyle w:val="Sarakstarindkopa"/>
              <w:spacing w:after="0" w:line="240" w:lineRule="auto"/>
              <w:ind w:left="0" w:firstLine="567"/>
              <w:contextualSpacing w:val="0"/>
              <w:jc w:val="both"/>
              <w:rPr>
                <w:rFonts w:ascii="Times New Roman" w:hAnsi="Times New Roman" w:cs="Times New Roman"/>
                <w:bCs/>
                <w:sz w:val="28"/>
                <w:szCs w:val="28"/>
                <w:shd w:val="clear" w:color="auto" w:fill="FFFFFF"/>
              </w:rPr>
            </w:pPr>
            <w:r w:rsidRPr="00C8046B">
              <w:rPr>
                <w:rFonts w:ascii="Times New Roman" w:hAnsi="Times New Roman" w:cs="Times New Roman"/>
                <w:bCs/>
                <w:sz w:val="28"/>
                <w:szCs w:val="28"/>
                <w:shd w:val="clear" w:color="auto" w:fill="FFFFFF"/>
              </w:rPr>
              <w:t>Noteikumu projekts nosaka, ka, ja valsts atbalstu komercdarbībai sniedz saskaņa ar Komisijas regulas Nr.651/2014 53.pantu, finansējuma saņēmējam jāveic atbalsta likmes pārrēķinu pārskata perioda (projekta dzīves cikla) beigās un jāatmaksā sadarbības iestādei starpību starp faktisko peļņu no pamatdarbības un plānoto pelņu no pamatdarbības.</w:t>
            </w:r>
          </w:p>
          <w:p w:rsidR="00D521A4" w:rsidRPr="00483357" w:rsidRDefault="00C8046B" w:rsidP="00D521A4">
            <w:pPr>
              <w:pStyle w:val="Sarakstarindkopa"/>
              <w:spacing w:after="0" w:line="240" w:lineRule="auto"/>
              <w:ind w:left="0" w:firstLine="567"/>
              <w:contextualSpacing w:val="0"/>
              <w:jc w:val="both"/>
              <w:rPr>
                <w:rFonts w:ascii="Times New Roman" w:hAnsi="Times New Roman" w:cs="Times New Roman"/>
                <w:sz w:val="28"/>
                <w:szCs w:val="28"/>
              </w:rPr>
            </w:pPr>
            <w:r w:rsidRPr="00C8046B">
              <w:rPr>
                <w:rFonts w:ascii="Times New Roman" w:hAnsi="Times New Roman" w:cs="Times New Roman"/>
                <w:bCs/>
                <w:sz w:val="28"/>
                <w:szCs w:val="28"/>
                <w:shd w:val="clear" w:color="auto" w:fill="FFFFFF"/>
              </w:rPr>
              <w:t xml:space="preserve">Noteikumu projekts nosaka, ka projektu dokumentāciju glabā atbilstoši </w:t>
            </w:r>
            <w:r w:rsidRPr="00C8046B">
              <w:rPr>
                <w:rFonts w:ascii="Times New Roman" w:hAnsi="Times New Roman" w:cs="Times New Roman"/>
                <w:sz w:val="28"/>
                <w:szCs w:val="28"/>
              </w:rPr>
              <w:t xml:space="preserve">Komisijas </w:t>
            </w:r>
            <w:r w:rsidRPr="00C8046B">
              <w:rPr>
                <w:rFonts w:ascii="Times New Roman" w:hAnsi="Times New Roman" w:cs="Times New Roman"/>
                <w:sz w:val="28"/>
                <w:szCs w:val="28"/>
              </w:rPr>
              <w:lastRenderedPageBreak/>
              <w:t xml:space="preserve">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(turpmāk – </w:t>
            </w:r>
            <w:r w:rsidRPr="00C8046B">
              <w:rPr>
                <w:rFonts w:ascii="Times New Roman" w:hAnsi="Times New Roman" w:cs="Times New Roman"/>
                <w:bCs/>
                <w:sz w:val="28"/>
                <w:szCs w:val="28"/>
                <w:shd w:val="clear" w:color="auto" w:fill="FFFFFF"/>
              </w:rPr>
              <w:t>Komisijas regulas Nr.480/2014) 1.pielikumā noteiktajam projekta pārskata periodam (projekta dzīves ciklam).</w:t>
            </w:r>
          </w:p>
          <w:p w:rsidR="00D521A4" w:rsidRPr="00483357" w:rsidRDefault="00C8046B" w:rsidP="00D521A4">
            <w:pPr>
              <w:pStyle w:val="ParastaisWeb"/>
              <w:ind w:firstLine="567"/>
              <w:jc w:val="both"/>
              <w:rPr>
                <w:sz w:val="28"/>
                <w:szCs w:val="28"/>
              </w:rPr>
            </w:pPr>
            <w:r w:rsidRPr="00C8046B">
              <w:rPr>
                <w:sz w:val="28"/>
                <w:szCs w:val="28"/>
              </w:rPr>
              <w:t>Projektā var tikt iekļautas gan izmaksas, kas ir saistītas ar valsts atbalstu komercdarbībai, gan izmaksas, kas nav saistītas ar valsts atbalstu komercdarbībai, un šādā gadījumā (kombinētos projektos) izmaksām, kas nav saistītas ar komercdarbības atbalstu, nav piemērojams finanšu iztrūkuma aprēķins (starpība starp projekta kopējām attiecināmajām izmaksām un peļņu no pamatdarbības).</w:t>
            </w:r>
          </w:p>
          <w:p w:rsidR="00D521A4" w:rsidRPr="00483357" w:rsidRDefault="00C8046B" w:rsidP="00D521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Ievērojot to, ka komercdarbības atbalsts 5.5.1.SAM ietvaros tiek sniegts saskaņā ar Komisijas regulu Nr.651/2014 un, ņemot vērā aktuālāko Eiropas Savienības tiesas judikatūru (sk. Eiropas Savienības Tiesas 2019.gada 5.marta spriedumu lietā </w:t>
            </w:r>
            <w:proofErr w:type="spellStart"/>
            <w:r w:rsidRPr="00C8046B">
              <w:rPr>
                <w:rFonts w:ascii="Times New Roman" w:eastAsia="Times New Roman" w:hAnsi="Times New Roman" w:cs="Times New Roman"/>
                <w:sz w:val="28"/>
                <w:szCs w:val="28"/>
                <w:lang w:eastAsia="lv-LV"/>
              </w:rPr>
              <w:t>Nr.C-349</w:t>
            </w:r>
            <w:proofErr w:type="spellEnd"/>
            <w:r w:rsidRPr="00C8046B">
              <w:rPr>
                <w:rFonts w:ascii="Times New Roman" w:eastAsia="Times New Roman" w:hAnsi="Times New Roman" w:cs="Times New Roman"/>
                <w:sz w:val="28"/>
                <w:szCs w:val="28"/>
                <w:lang w:eastAsia="lv-LV"/>
              </w:rPr>
              <w:t xml:space="preserve">/17 (ECLI:EU:C:2019:172)), Noteikumu projekts paredz komercdarbības atbalsta atgūšanu kopā ar procentiem, ja komercdarbības atbalsta saņēmējs ir pārkāpis Komisijas regulas Nr.651/2014 prasības, nosakot, ka atbalsta saņēmējam ir pienākums atmaksāt atbalsta sniedzējam visu projekta ietvaros saņemto valsts atbalstu kopā ar procentiem, ko publicē Eiropas Komisija saskaņā ar Komisijas 2004.gada 21.aprīļa regulas (EK) Nr.794/2004, ar ko īsteno Padomes Regulu (ES) 2015/1589, ar ko nosaka sīki izstrādātus noteikumus Līguma par Eiropas Savienības darbību </w:t>
            </w:r>
            <w:r w:rsidRPr="00C8046B">
              <w:rPr>
                <w:rFonts w:ascii="Times New Roman" w:eastAsia="Times New Roman" w:hAnsi="Times New Roman" w:cs="Times New Roman"/>
                <w:sz w:val="28"/>
                <w:szCs w:val="28"/>
                <w:lang w:eastAsia="lv-LV"/>
              </w:rPr>
              <w:lastRenderedPageBreak/>
              <w:t>108.panta piemērošanai (turpmāk – Komisijas regula 794/2004, 10.pantu, tiem pieskaitot 100 bāzes punktus, no dienas, kad valsts atbalsts tika izmaksāts finansējuma saņēmējam līdz tā atgūšanas dienai, ievērojot Komisijas regulas Nr.794/200, 11.pantā noteikto procentu likmes piemērošanas metodi.</w:t>
            </w:r>
          </w:p>
          <w:p w:rsidR="00D521A4" w:rsidRPr="00483357" w:rsidRDefault="00C8046B" w:rsidP="00D521A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Projektu iesniedzējiem, kam atbalsts tiek sniegts saskaņā ar Komisijas regulu Nr.651/2014, atbalsta piešķiršanas brīža identificēšana ir būtisks priekšnosacījums korektai interpretācijai par datumu, kurā komercdarbības atbalsts ir ticis piešķirts tā saņēmējam. Komisijas regulas Nr.651/2014 2.panta 28.punktā definēta atbalsta piešķiršanas diena, kas ir diena, kad saņēmējam saskaņā ar piemērojamo valsts tiesisko regulējumu ir nodotas likumīgās tiesības saņemt atbalstu. Ņemot vērā minēto, atbalsta piešķiršanas diena 5.5.1.SAM ietvaros ir diena, kad Centrālā finanšu un līgumu aģentūra ir pieņēmusi lēmumu par projekta iesnieguma apstiprināšanu vai, ja sākotnēji pieņemts lēmums par projekta iesnieguma apstiprināšanu ar nosacījumu, tad atbalsta piešķiršanas diena ir diena, kad Centrālā finanšu un līgumu aģentūra izdevusi atzinumu par lēmumā noteikto nosacījumu izpildi, jeb tas ir brīdis, kad projekta iesniegums tiek apstiprināts un atbalsta saņēmējam ir piešķirtas tiesības saņemt atbalstu.</w:t>
            </w:r>
          </w:p>
          <w:p w:rsidR="00C80802" w:rsidRPr="00483357" w:rsidRDefault="00C8046B" w:rsidP="00956ABE">
            <w:pPr>
              <w:autoSpaceDE w:val="0"/>
              <w:autoSpaceDN w:val="0"/>
              <w:spacing w:after="0" w:line="240" w:lineRule="auto"/>
              <w:ind w:firstLine="567"/>
              <w:jc w:val="both"/>
              <w:rPr>
                <w:rFonts w:ascii="Times New Roman" w:hAnsi="Times New Roman" w:cs="Times New Roman"/>
                <w:sz w:val="28"/>
                <w:szCs w:val="28"/>
              </w:rPr>
            </w:pPr>
            <w:r w:rsidRPr="00C8046B">
              <w:rPr>
                <w:rFonts w:ascii="Times New Roman" w:hAnsi="Times New Roman" w:cs="Times New Roman"/>
                <w:sz w:val="28"/>
                <w:szCs w:val="28"/>
              </w:rPr>
              <w:t xml:space="preserve">Noteikumu projektā tiek noteikti gadījumi, kādos sadarbības iestādei ir tiesības vienpusēji atkāpties no noslēgtās vienošanās ar finansējuma saņēmēju par projekta īstenošanu, kas detalizēti tiks norādīti </w:t>
            </w:r>
            <w:r w:rsidRPr="00C8046B">
              <w:rPr>
                <w:rFonts w:ascii="Times New Roman" w:hAnsi="Times New Roman" w:cs="Times New Roman"/>
                <w:bCs/>
                <w:sz w:val="28"/>
                <w:szCs w:val="28"/>
              </w:rPr>
              <w:t>vienošanās vai civiltiesiskajā līgumā par projekta īstenošanu</w:t>
            </w:r>
            <w:r w:rsidRPr="00C8046B">
              <w:rPr>
                <w:rFonts w:ascii="Times New Roman" w:hAnsi="Times New Roman" w:cs="Times New Roman"/>
                <w:sz w:val="28"/>
                <w:szCs w:val="28"/>
              </w:rPr>
              <w:t>.</w:t>
            </w:r>
          </w:p>
          <w:p w:rsidR="00D521A4" w:rsidRPr="00483357" w:rsidRDefault="00C8046B" w:rsidP="00D521A4">
            <w:pPr>
              <w:spacing w:after="0" w:line="240" w:lineRule="auto"/>
              <w:ind w:firstLine="567"/>
              <w:jc w:val="both"/>
              <w:outlineLvl w:val="0"/>
              <w:rPr>
                <w:rFonts w:ascii="Times New Roman" w:hAnsi="Times New Roman" w:cs="Times New Roman"/>
                <w:sz w:val="28"/>
                <w:szCs w:val="28"/>
              </w:rPr>
            </w:pPr>
            <w:r w:rsidRPr="00C8046B">
              <w:rPr>
                <w:rFonts w:ascii="Times New Roman" w:hAnsi="Times New Roman" w:cs="Times New Roman"/>
                <w:sz w:val="28"/>
                <w:szCs w:val="28"/>
              </w:rPr>
              <w:t xml:space="preserve">Energoefektivitātes likuma 15.panta trešā daļa nosaka, ka ES fondu atbildīgās iestādes Ministru kabineta noteikumos par specifiskā atbalsta mērķa īstenošanu paredz projektu enerģijas patēriņa rādītājus tām aktivitātēm, kas tiešā veidā nav vērstas uz energoefektivitātes uzlabošanu, tomēr sekmē </w:t>
            </w:r>
            <w:r w:rsidRPr="00C8046B">
              <w:rPr>
                <w:rFonts w:ascii="Times New Roman" w:hAnsi="Times New Roman" w:cs="Times New Roman"/>
                <w:sz w:val="28"/>
                <w:szCs w:val="28"/>
              </w:rPr>
              <w:lastRenderedPageBreak/>
              <w:t>to. Ekonomikas ministrijas skaidro</w:t>
            </w:r>
            <w:r w:rsidRPr="00C8046B">
              <w:rPr>
                <w:rFonts w:ascii="Times New Roman" w:hAnsi="Times New Roman" w:cs="Times New Roman"/>
                <w:spacing w:val="-3"/>
                <w:sz w:val="28"/>
                <w:szCs w:val="28"/>
              </w:rPr>
              <w:t>, ka tas attiecas, piemēram, uz aktivitātēm, kurās tiek uzlabotas vai iegādātas ēkas, iekārtas, transportlīdzekļi, kā arī ieviesti energoresursu patērētāju izturēšanās maiņu veicinoši pasākumi.</w:t>
            </w:r>
            <w:r w:rsidRPr="00C8046B">
              <w:rPr>
                <w:rFonts w:ascii="Times New Roman" w:hAnsi="Times New Roman" w:cs="Times New Roman"/>
                <w:sz w:val="28"/>
                <w:szCs w:val="28"/>
              </w:rPr>
              <w:t xml:space="preserve"> Energoefektivitātes likuma 15.panta ceturtā daļa nosaka</w:t>
            </w:r>
            <w:r w:rsidRPr="00C8046B">
              <w:rPr>
                <w:rFonts w:ascii="Times New Roman" w:hAnsi="Times New Roman" w:cs="Times New Roman"/>
                <w:spacing w:val="-3"/>
                <w:sz w:val="28"/>
                <w:szCs w:val="28"/>
              </w:rPr>
              <w:t xml:space="preserve">, ka, ja šāds projekts ir pilnībā vai daļēji īstenots, izmantojot tādus atbalsta veidus kā maksājumi no valsts vai pašvaldības budžeta, valsts vai pašvaldību galvojumi, kredītu procentu likmju subsidēšana, kā arī cita finanšu palīdzība, kas tiek piešķirta vai sniegta no valsts, pašvaldības vai Eiropas Savienības budžeta līdzekļiem un ārvalstu finanšu palīdzības līdzekļiem, tad finansējuma saņēmējs pēc projekta realizācijas turpmākos trīs gadus ik gadu sniedz informāciju par projekta enerģijas patēriņa rādītājiem. Saskaņā ar Noteikumu projektu, </w:t>
            </w:r>
            <w:r w:rsidRPr="00C8046B">
              <w:rPr>
                <w:rFonts w:ascii="Times New Roman" w:hAnsi="Times New Roman" w:cs="Times New Roman"/>
                <w:sz w:val="28"/>
                <w:szCs w:val="28"/>
              </w:rPr>
              <w:t xml:space="preserve">ja projekta ietvaros tiek plānoti ieguldījumi būvē (piemēram, ēkā, ielu apgaismojumā u.c.) projekta iesniedzējs projekta iesniegumā norāda enerģijas patēriņu (megavatstundas) pirms projekta īstenošanas, kā arī finansējuma saņēmējam ir pienākums informēt sadarbības iestādi par enerģijas patēriņu (megavatstundas) trīs gadus pēc projekta īstenošanas. </w:t>
            </w:r>
          </w:p>
          <w:p w:rsidR="00D521A4" w:rsidRPr="00483357" w:rsidRDefault="00C8046B" w:rsidP="00D521A4">
            <w:pPr>
              <w:spacing w:after="0" w:line="240" w:lineRule="auto"/>
              <w:ind w:firstLine="567"/>
              <w:jc w:val="both"/>
              <w:rPr>
                <w:rFonts w:ascii="Times New Roman" w:hAnsi="Times New Roman" w:cs="Times New Roman"/>
                <w:bCs/>
                <w:sz w:val="28"/>
                <w:szCs w:val="28"/>
                <w:shd w:val="clear" w:color="auto" w:fill="FFFFFF"/>
              </w:rPr>
            </w:pPr>
            <w:r w:rsidRPr="00C8046B">
              <w:rPr>
                <w:rFonts w:ascii="Times New Roman" w:hAnsi="Times New Roman" w:cs="Times New Roman"/>
                <w:bCs/>
                <w:sz w:val="28"/>
                <w:szCs w:val="28"/>
                <w:shd w:val="clear" w:color="auto" w:fill="FFFFFF"/>
              </w:rPr>
              <w:t xml:space="preserve">5.5.1.SAM ir netieša ietekme gan uz horizontālo principu „Vienlīdzīgas iespējas”, gan uz horizontālo principu „Ilgtspējīga attīstība”. </w:t>
            </w:r>
          </w:p>
          <w:p w:rsidR="00D521A4" w:rsidRPr="00483357" w:rsidRDefault="00C8046B" w:rsidP="00D521A4">
            <w:pPr>
              <w:spacing w:after="0" w:line="240" w:lineRule="auto"/>
              <w:ind w:firstLine="567"/>
              <w:jc w:val="both"/>
              <w:rPr>
                <w:rFonts w:ascii="Times New Roman" w:hAnsi="Times New Roman" w:cs="Times New Roman"/>
                <w:bCs/>
                <w:sz w:val="28"/>
                <w:szCs w:val="28"/>
                <w:shd w:val="clear" w:color="auto" w:fill="FFFFFF"/>
              </w:rPr>
            </w:pPr>
            <w:r w:rsidRPr="00C8046B">
              <w:rPr>
                <w:rFonts w:ascii="Times New Roman" w:hAnsi="Times New Roman" w:cs="Times New Roman"/>
                <w:bCs/>
                <w:sz w:val="28"/>
                <w:szCs w:val="28"/>
                <w:shd w:val="clear" w:color="auto" w:fill="FFFFFF"/>
              </w:rPr>
              <w:t>Ietekme uz horizontālo principu „Vienlīdzīgas iespējas” ir vides un informācijas pieejamības veicināšana, un projektu iesniegumu vērtēšanā tiks piešķirti papildu punkti projektiem, kas paredzēs specifiskas vides un informācijas pieejamību veicinošas darbības papildu būvnormatīvos noteiktajam. Lai nodrošinātu šī principa uzraudzību, Noteikumu projekts paredz finansējuma saņēmējam uzkrāt datus par horizontālā rādītāja sasniegšanu, proti, objektu skaits, kuros ERAF ieguldījumu rezultātā ir nodrošināta vides un informācijas pieejamība.</w:t>
            </w:r>
          </w:p>
          <w:p w:rsidR="00D521A4" w:rsidRPr="00483357" w:rsidRDefault="00C8046B" w:rsidP="00D521A4">
            <w:pPr>
              <w:spacing w:after="0" w:line="240" w:lineRule="auto"/>
              <w:ind w:firstLine="567"/>
              <w:jc w:val="both"/>
              <w:rPr>
                <w:rFonts w:ascii="Times New Roman" w:hAnsi="Times New Roman" w:cs="Times New Roman"/>
                <w:sz w:val="28"/>
                <w:szCs w:val="28"/>
              </w:rPr>
            </w:pPr>
            <w:r w:rsidRPr="00C8046B">
              <w:rPr>
                <w:rFonts w:ascii="Times New Roman" w:hAnsi="Times New Roman" w:cs="Times New Roman"/>
                <w:bCs/>
                <w:sz w:val="28"/>
                <w:szCs w:val="28"/>
                <w:shd w:val="clear" w:color="auto" w:fill="FFFFFF"/>
              </w:rPr>
              <w:lastRenderedPageBreak/>
              <w:t>Ietekme uz horizontālo principu „Ilgtspējīga attīstība” ir „zaļā” publiskā iepirkuma principu ievērošana publiskajos iepirkumos un jaunizveidoto „zaļo” darbvietu skaits atbalstītajos objektos. Projektu vērtēšanā tiks piešķirti papildu punkti projektam, kas paredzēs „zaļā” iepirkuma nosacījumus projekta ietvaros veicamajos publiskajos iepirkumos. Savukārt par jaunizveidoto „zaļo” darbvietu skaitu atbalstītajos objektos papildu punktu skaits projekta vērtēšanā netiks noteikts.</w:t>
            </w:r>
            <w:r w:rsidRPr="00C8046B">
              <w:rPr>
                <w:rFonts w:ascii="Times New Roman" w:hAnsi="Times New Roman" w:cs="Times New Roman"/>
                <w:sz w:val="28"/>
                <w:szCs w:val="28"/>
              </w:rPr>
              <w:t xml:space="preserve"> Lai nodrošinātu šī principa uzraudzību, Noteikumu projekts paredz finansējuma saņēmējiem pienākumu uzkrāt datus par horizontālā principa </w:t>
            </w:r>
            <w:r w:rsidRPr="00C8046B">
              <w:rPr>
                <w:rFonts w:ascii="Times New Roman" w:hAnsi="Times New Roman" w:cs="Times New Roman"/>
                <w:bCs/>
                <w:sz w:val="28"/>
                <w:szCs w:val="28"/>
                <w:shd w:val="clear" w:color="auto" w:fill="FFFFFF"/>
              </w:rPr>
              <w:t>„Ilgtspējīga attīstība”</w:t>
            </w:r>
            <w:r w:rsidRPr="00C8046B">
              <w:rPr>
                <w:rFonts w:ascii="Times New Roman" w:hAnsi="Times New Roman" w:cs="Times New Roman"/>
                <w:sz w:val="28"/>
                <w:szCs w:val="28"/>
              </w:rPr>
              <w:t xml:space="preserve"> rādītāju sasniegšanu, t.i., veikto </w:t>
            </w:r>
            <w:r w:rsidRPr="00C8046B">
              <w:rPr>
                <w:rFonts w:ascii="Times New Roman" w:hAnsi="Times New Roman" w:cs="Times New Roman"/>
                <w:bCs/>
                <w:sz w:val="28"/>
                <w:szCs w:val="28"/>
                <w:shd w:val="clear" w:color="auto" w:fill="FFFFFF"/>
              </w:rPr>
              <w:t>„</w:t>
            </w:r>
            <w:r w:rsidRPr="00C8046B">
              <w:rPr>
                <w:rFonts w:ascii="Times New Roman" w:hAnsi="Times New Roman" w:cs="Times New Roman"/>
                <w:sz w:val="28"/>
                <w:szCs w:val="28"/>
              </w:rPr>
              <w:t>zaļo</w:t>
            </w:r>
            <w:r w:rsidRPr="00C8046B">
              <w:rPr>
                <w:rFonts w:ascii="Times New Roman" w:hAnsi="Times New Roman" w:cs="Times New Roman"/>
                <w:bCs/>
                <w:sz w:val="28"/>
                <w:szCs w:val="28"/>
                <w:shd w:val="clear" w:color="auto" w:fill="FFFFFF"/>
              </w:rPr>
              <w:t>”</w:t>
            </w:r>
            <w:r w:rsidRPr="00C8046B">
              <w:rPr>
                <w:rFonts w:ascii="Times New Roman" w:hAnsi="Times New Roman" w:cs="Times New Roman"/>
                <w:sz w:val="28"/>
                <w:szCs w:val="28"/>
              </w:rPr>
              <w:t xml:space="preserve"> publisko iepirkumu summa (</w:t>
            </w:r>
            <w:r w:rsidRPr="00C8046B">
              <w:rPr>
                <w:rFonts w:ascii="Times New Roman" w:hAnsi="Times New Roman" w:cs="Times New Roman"/>
                <w:i/>
                <w:sz w:val="28"/>
                <w:szCs w:val="28"/>
              </w:rPr>
              <w:t>euro</w:t>
            </w:r>
            <w:r w:rsidRPr="00C8046B">
              <w:rPr>
                <w:rFonts w:ascii="Times New Roman" w:hAnsi="Times New Roman" w:cs="Times New Roman"/>
                <w:sz w:val="28"/>
                <w:szCs w:val="28"/>
              </w:rPr>
              <w:t xml:space="preserve">) projektu ietvaros un jaunizveidoto </w:t>
            </w:r>
            <w:r w:rsidRPr="00C8046B">
              <w:rPr>
                <w:rFonts w:ascii="Times New Roman" w:hAnsi="Times New Roman" w:cs="Times New Roman"/>
                <w:bCs/>
                <w:sz w:val="28"/>
                <w:szCs w:val="28"/>
                <w:shd w:val="clear" w:color="auto" w:fill="FFFFFF"/>
              </w:rPr>
              <w:t>„</w:t>
            </w:r>
            <w:r w:rsidRPr="00C8046B">
              <w:rPr>
                <w:rFonts w:ascii="Times New Roman" w:hAnsi="Times New Roman" w:cs="Times New Roman"/>
                <w:sz w:val="28"/>
                <w:szCs w:val="28"/>
              </w:rPr>
              <w:t>zaļo</w:t>
            </w:r>
            <w:r w:rsidRPr="00C8046B">
              <w:rPr>
                <w:rFonts w:ascii="Times New Roman" w:hAnsi="Times New Roman" w:cs="Times New Roman"/>
                <w:bCs/>
                <w:sz w:val="28"/>
                <w:szCs w:val="28"/>
                <w:shd w:val="clear" w:color="auto" w:fill="FFFFFF"/>
              </w:rPr>
              <w:t>”</w:t>
            </w:r>
            <w:r w:rsidRPr="00C8046B">
              <w:rPr>
                <w:rFonts w:ascii="Times New Roman" w:hAnsi="Times New Roman" w:cs="Times New Roman"/>
                <w:sz w:val="28"/>
                <w:szCs w:val="28"/>
              </w:rPr>
              <w:t xml:space="preserve"> darbvietu skaitu atbalstītajos objektos (ja attiecināms).</w:t>
            </w:r>
          </w:p>
          <w:p w:rsidR="00D521A4" w:rsidRPr="00483357" w:rsidRDefault="00C8046B" w:rsidP="00D521A4">
            <w:pPr>
              <w:spacing w:after="0" w:line="240" w:lineRule="auto"/>
              <w:ind w:firstLine="567"/>
              <w:jc w:val="both"/>
              <w:rPr>
                <w:rFonts w:ascii="Times New Roman" w:hAnsi="Times New Roman" w:cs="Times New Roman"/>
                <w:sz w:val="28"/>
                <w:szCs w:val="28"/>
              </w:rPr>
            </w:pPr>
            <w:r w:rsidRPr="00C8046B">
              <w:rPr>
                <w:rFonts w:ascii="Times New Roman" w:hAnsi="Times New Roman" w:cs="Times New Roman"/>
                <w:spacing w:val="-3"/>
                <w:sz w:val="28"/>
                <w:szCs w:val="28"/>
              </w:rPr>
              <w:t xml:space="preserve">Plašāku informāciju projektu iesniedzējiem sniedz Ministru kabineta 2016.gada 11.oktobra noteikumi Nr.668 </w:t>
            </w:r>
            <w:r w:rsidRPr="00C8046B">
              <w:rPr>
                <w:rFonts w:ascii="Times New Roman" w:hAnsi="Times New Roman" w:cs="Times New Roman"/>
                <w:bCs/>
                <w:sz w:val="28"/>
                <w:szCs w:val="28"/>
                <w:shd w:val="clear" w:color="auto" w:fill="FFFFFF"/>
              </w:rPr>
              <w:t xml:space="preserve">„Energoefektivitātes monitoringa un piemērojamā </w:t>
            </w:r>
            <w:proofErr w:type="spellStart"/>
            <w:r w:rsidRPr="00C8046B">
              <w:rPr>
                <w:rFonts w:ascii="Times New Roman" w:hAnsi="Times New Roman" w:cs="Times New Roman"/>
                <w:bCs/>
                <w:sz w:val="28"/>
                <w:szCs w:val="28"/>
                <w:shd w:val="clear" w:color="auto" w:fill="FFFFFF"/>
              </w:rPr>
              <w:t>energopārvaldības</w:t>
            </w:r>
            <w:proofErr w:type="spellEnd"/>
            <w:r w:rsidRPr="00C8046B">
              <w:rPr>
                <w:rFonts w:ascii="Times New Roman" w:hAnsi="Times New Roman" w:cs="Times New Roman"/>
                <w:bCs/>
                <w:sz w:val="28"/>
                <w:szCs w:val="28"/>
                <w:shd w:val="clear" w:color="auto" w:fill="FFFFFF"/>
              </w:rPr>
              <w:t xml:space="preserve"> sistēmas standarta noteikumi” un </w:t>
            </w:r>
            <w:r w:rsidRPr="00C8046B">
              <w:rPr>
                <w:rFonts w:ascii="Times New Roman" w:hAnsi="Times New Roman" w:cs="Times New Roman"/>
                <w:spacing w:val="-3"/>
                <w:sz w:val="28"/>
                <w:szCs w:val="28"/>
              </w:rPr>
              <w:t xml:space="preserve">Ekonomikas ministrijas izstrādātā metodika </w:t>
            </w:r>
            <w:r w:rsidRPr="00C8046B">
              <w:rPr>
                <w:rFonts w:ascii="Times New Roman" w:hAnsi="Times New Roman" w:cs="Times New Roman"/>
                <w:bCs/>
                <w:sz w:val="28"/>
                <w:szCs w:val="28"/>
                <w:shd w:val="clear" w:color="auto" w:fill="FFFFFF"/>
              </w:rPr>
              <w:t xml:space="preserve">„Metodisko ieteikumu enerģijas ietaupījumu ziņošanai”, kas ir pieejama Ekonomikas ministrijas tīmekļvietnē </w:t>
            </w:r>
            <w:hyperlink r:id="rId8" w:history="1">
              <w:r>
                <w:rPr>
                  <w:rStyle w:val="Hipersaite"/>
                  <w:rFonts w:ascii="Times New Roman" w:hAnsi="Times New Roman" w:cs="Times New Roman"/>
                  <w:sz w:val="28"/>
                  <w:szCs w:val="28"/>
                </w:rPr>
                <w:t xml:space="preserve">https://em.gov.lv/lv/nozares_politika/energoefektivitate_un_siltumapgade/ </w:t>
              </w:r>
              <w:proofErr w:type="spellStart"/>
              <w:r>
                <w:rPr>
                  <w:rStyle w:val="Hipersaite"/>
                  <w:rFonts w:ascii="Times New Roman" w:hAnsi="Times New Roman" w:cs="Times New Roman"/>
                  <w:sz w:val="28"/>
                  <w:szCs w:val="28"/>
                </w:rPr>
                <w:t>energoefektivitate</w:t>
              </w:r>
              <w:proofErr w:type="spellEnd"/>
              <w:r>
                <w:rPr>
                  <w:rStyle w:val="Hipersaite"/>
                  <w:rFonts w:ascii="Times New Roman" w:hAnsi="Times New Roman" w:cs="Times New Roman"/>
                  <w:sz w:val="28"/>
                  <w:szCs w:val="28"/>
                </w:rPr>
                <w:t>/</w:t>
              </w:r>
              <w:proofErr w:type="spellStart"/>
              <w:r>
                <w:rPr>
                  <w:rStyle w:val="Hipersaite"/>
                  <w:rFonts w:ascii="Times New Roman" w:hAnsi="Times New Roman" w:cs="Times New Roman"/>
                  <w:sz w:val="28"/>
                  <w:szCs w:val="28"/>
                </w:rPr>
                <w:t>energijas_ietaupijumu_zinosana</w:t>
              </w:r>
              <w:proofErr w:type="spellEnd"/>
            </w:hyperlink>
            <w:r w:rsidRPr="00C8046B">
              <w:rPr>
                <w:rFonts w:ascii="Times New Roman" w:hAnsi="Times New Roman" w:cs="Times New Roman"/>
                <w:sz w:val="28"/>
                <w:szCs w:val="28"/>
              </w:rPr>
              <w:t>.</w:t>
            </w:r>
          </w:p>
          <w:p w:rsidR="00C8046B" w:rsidRDefault="00C8046B" w:rsidP="00C8046B">
            <w:pPr>
              <w:spacing w:after="0" w:line="240" w:lineRule="auto"/>
              <w:ind w:firstLine="649"/>
              <w:jc w:val="both"/>
              <w:rPr>
                <w:rFonts w:ascii="Times New Roman" w:hAnsi="Times New Roman" w:cs="Times New Roman"/>
                <w:sz w:val="28"/>
                <w:szCs w:val="28"/>
              </w:rPr>
            </w:pPr>
            <w:r w:rsidRPr="00C8046B">
              <w:rPr>
                <w:rFonts w:ascii="Times New Roman" w:hAnsi="Times New Roman" w:cs="Times New Roman"/>
                <w:sz w:val="28"/>
                <w:szCs w:val="28"/>
              </w:rPr>
              <w:t>Finansējuma saņēmējs un sadarbības partneris, lai nodrošinātu projekta rezultātu ilgtspēju vismaz piecus gadus pēc projekta pabeigšanas nodrošinās līdzekļus objektu uzturēšanai:</w:t>
            </w:r>
          </w:p>
          <w:p w:rsidR="00C8046B" w:rsidRPr="00C8046B" w:rsidRDefault="00C8046B" w:rsidP="00C8046B">
            <w:pPr>
              <w:pStyle w:val="Sarakstarindkopa"/>
              <w:widowControl w:val="0"/>
              <w:numPr>
                <w:ilvl w:val="0"/>
                <w:numId w:val="48"/>
              </w:numPr>
              <w:spacing w:after="0" w:line="240" w:lineRule="auto"/>
              <w:ind w:left="357" w:hanging="357"/>
              <w:jc w:val="both"/>
              <w:outlineLvl w:val="0"/>
              <w:rPr>
                <w:rFonts w:ascii="Times New Roman" w:hAnsi="Times New Roman" w:cs="Times New Roman"/>
                <w:sz w:val="28"/>
                <w:szCs w:val="28"/>
              </w:rPr>
            </w:pPr>
            <w:r w:rsidRPr="00C8046B">
              <w:rPr>
                <w:rFonts w:ascii="Times New Roman" w:hAnsi="Times New Roman" w:cs="Times New Roman"/>
                <w:sz w:val="28"/>
                <w:szCs w:val="28"/>
              </w:rPr>
              <w:t xml:space="preserve">objekta </w:t>
            </w:r>
            <w:r w:rsidRPr="00C8046B">
              <w:rPr>
                <w:rFonts w:ascii="Times New Roman" w:eastAsia="Calibri" w:hAnsi="Times New Roman" w:cs="Times New Roman"/>
                <w:sz w:val="28"/>
                <w:szCs w:val="28"/>
              </w:rPr>
              <w:t xml:space="preserve">„Koncertzāle „Lielā Ģilde”” uzturēšanai </w:t>
            </w:r>
            <w:r w:rsidRPr="00C8046B">
              <w:rPr>
                <w:rFonts w:ascii="Times New Roman" w:hAnsi="Times New Roman" w:cs="Times New Roman"/>
                <w:sz w:val="28"/>
                <w:szCs w:val="28"/>
              </w:rPr>
              <w:t>Kultūras ministrija piešķir ikgadēju dotāciju;</w:t>
            </w:r>
          </w:p>
          <w:p w:rsidR="00C8046B" w:rsidRPr="00C8046B" w:rsidRDefault="00C8046B" w:rsidP="00C8046B">
            <w:pPr>
              <w:pStyle w:val="Sarakstarindkopa"/>
              <w:widowControl w:val="0"/>
              <w:numPr>
                <w:ilvl w:val="0"/>
                <w:numId w:val="48"/>
              </w:numPr>
              <w:spacing w:after="0" w:line="240" w:lineRule="auto"/>
              <w:ind w:left="357" w:hanging="357"/>
              <w:jc w:val="both"/>
              <w:outlineLvl w:val="0"/>
              <w:rPr>
                <w:rFonts w:ascii="Times New Roman" w:hAnsi="Times New Roman" w:cs="Times New Roman"/>
                <w:sz w:val="28"/>
                <w:szCs w:val="28"/>
              </w:rPr>
            </w:pPr>
            <w:r w:rsidRPr="00C8046B">
              <w:rPr>
                <w:rFonts w:ascii="Times New Roman" w:hAnsi="Times New Roman" w:cs="Times New Roman"/>
                <w:sz w:val="28"/>
                <w:szCs w:val="28"/>
              </w:rPr>
              <w:t>objekta „</w:t>
            </w:r>
            <w:r w:rsidRPr="00C8046B">
              <w:rPr>
                <w:rFonts w:ascii="Times New Roman" w:eastAsia="Calibri" w:hAnsi="Times New Roman" w:cs="Times New Roman"/>
                <w:sz w:val="28"/>
                <w:szCs w:val="28"/>
              </w:rPr>
              <w:t>Dailes teātra skvērs Brīvības ielā 75, Rīgā</w:t>
            </w:r>
            <w:r w:rsidRPr="00C8046B">
              <w:rPr>
                <w:rFonts w:ascii="Times New Roman" w:hAnsi="Times New Roman" w:cs="Times New Roman"/>
                <w:sz w:val="28"/>
                <w:szCs w:val="28"/>
              </w:rPr>
              <w:t>”</w:t>
            </w:r>
            <w:r w:rsidRPr="00C8046B">
              <w:rPr>
                <w:rFonts w:ascii="Times New Roman" w:eastAsia="Calibri" w:hAnsi="Times New Roman" w:cs="Times New Roman"/>
                <w:sz w:val="28"/>
                <w:szCs w:val="28"/>
              </w:rPr>
              <w:t xml:space="preserve"> un objekta „Padomju okupācijas upuru piemiņas memoriāla kompleksa </w:t>
            </w:r>
            <w:r w:rsidRPr="00C8046B">
              <w:rPr>
                <w:rFonts w:ascii="Times New Roman" w:eastAsia="Calibri" w:hAnsi="Times New Roman" w:cs="Times New Roman"/>
                <w:sz w:val="28"/>
                <w:szCs w:val="28"/>
              </w:rPr>
              <w:lastRenderedPageBreak/>
              <w:t>Latviešu strēlnieku laukuma</w:t>
            </w:r>
            <w:r w:rsidRPr="00C8046B">
              <w:rPr>
                <w:rFonts w:ascii="Times New Roman" w:hAnsi="Times New Roman" w:cs="Times New Roman"/>
                <w:sz w:val="28"/>
                <w:szCs w:val="28"/>
              </w:rPr>
              <w:t xml:space="preserve"> skvērs</w:t>
            </w:r>
            <w:r w:rsidRPr="00C8046B">
              <w:rPr>
                <w:rFonts w:ascii="Times New Roman" w:eastAsia="Calibri" w:hAnsi="Times New Roman" w:cs="Times New Roman"/>
                <w:sz w:val="28"/>
                <w:szCs w:val="28"/>
              </w:rPr>
              <w:t xml:space="preserve">” atbilstoši piederībai nodrošinās Rīgas pilsētas pašvaldība un </w:t>
            </w:r>
            <w:r w:rsidRPr="00C8046B">
              <w:rPr>
                <w:rFonts w:ascii="Times New Roman" w:eastAsia="Calibri" w:hAnsi="Times New Roman" w:cs="Times New Roman"/>
                <w:sz w:val="28"/>
                <w:szCs w:val="28"/>
                <w:lang w:eastAsia="lv-LV"/>
              </w:rPr>
              <w:t>valsts akciju sabiedrība „Valsts nekustamie īpašumi”</w:t>
            </w:r>
            <w:r w:rsidRPr="00C8046B">
              <w:rPr>
                <w:rFonts w:ascii="Times New Roman" w:eastAsia="Calibri" w:hAnsi="Times New Roman" w:cs="Times New Roman"/>
                <w:sz w:val="28"/>
                <w:szCs w:val="28"/>
              </w:rPr>
              <w:t xml:space="preserve"> no saviem līdzekļiem.</w:t>
            </w:r>
          </w:p>
          <w:p w:rsidR="00A6715A" w:rsidRPr="00483357" w:rsidRDefault="00C8046B" w:rsidP="00A72284">
            <w:pPr>
              <w:autoSpaceDE w:val="0"/>
              <w:autoSpaceDN w:val="0"/>
              <w:spacing w:after="0" w:line="240" w:lineRule="auto"/>
              <w:ind w:firstLine="567"/>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Noteikumu projektam nav ietekmes uz 5.5.1.SAM trešās atlases kārtas projektu iesniegumu atlasi un finansējuma saņēmējiem, tāpat arī nebūs nepieciešami grozījumi līgumos par projektu īstenošanu. Noteikumu projektam nav ietekme arī uz 5.5.1.SAM pirmās un otrās atlases kārtas projektu iesniegumu atlasi un finansējuma saņēmējiem. 5.5.1.SAM pirmās un otrās atlases kārtas ietvaros ir noslēgti līgumi par visu projektu īstenošanu, savukārt, 5.5.1.SAM trešās atlases kārtas ietvaros katras pilsētas pašvaldība nodrošina savas pilsētas komisijas projektu iesniegumu atlasi neatkarīgi no citu pilsētu projektu iesniegumu atlasēm.</w:t>
            </w:r>
          </w:p>
        </w:tc>
      </w:tr>
      <w:tr w:rsidR="00E5323B" w:rsidRPr="00483357" w:rsidTr="00B27E69">
        <w:trPr>
          <w:tblCellSpacing w:w="15" w:type="dxa"/>
        </w:trPr>
        <w:tc>
          <w:tcPr>
            <w:tcW w:w="590" w:type="dxa"/>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lastRenderedPageBreak/>
              <w:t>3.</w:t>
            </w:r>
          </w:p>
        </w:tc>
        <w:tc>
          <w:tcPr>
            <w:tcW w:w="3096" w:type="dxa"/>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Projekta izstrādē iesaistītās institūcijas un publiskas personas kapitālsabiedrības</w:t>
            </w:r>
          </w:p>
        </w:tc>
        <w:tc>
          <w:tcPr>
            <w:tcW w:w="5415" w:type="dxa"/>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Kultūras ministrija.</w:t>
            </w:r>
          </w:p>
        </w:tc>
      </w:tr>
      <w:tr w:rsidR="00E5323B" w:rsidRPr="00483357" w:rsidTr="00B27E69">
        <w:trPr>
          <w:tblCellSpacing w:w="15" w:type="dxa"/>
        </w:trPr>
        <w:tc>
          <w:tcPr>
            <w:tcW w:w="590" w:type="dxa"/>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4.</w:t>
            </w:r>
          </w:p>
        </w:tc>
        <w:tc>
          <w:tcPr>
            <w:tcW w:w="3096" w:type="dxa"/>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Cita informācija</w:t>
            </w:r>
          </w:p>
        </w:tc>
        <w:tc>
          <w:tcPr>
            <w:tcW w:w="5415" w:type="dxa"/>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Nav</w:t>
            </w:r>
          </w:p>
        </w:tc>
      </w:tr>
    </w:tbl>
    <w:p w:rsidR="006E7048" w:rsidRPr="00483357" w:rsidRDefault="00E5323B" w:rsidP="00956ABE">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8"/>
        <w:gridCol w:w="3104"/>
        <w:gridCol w:w="5529"/>
      </w:tblGrid>
      <w:tr w:rsidR="00E5323B" w:rsidRPr="00483357" w:rsidTr="00E4390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521A4" w:rsidRPr="00483357" w:rsidRDefault="00C8046B">
            <w:pPr>
              <w:spacing w:after="0" w:line="240" w:lineRule="auto"/>
              <w:jc w:val="center"/>
              <w:rPr>
                <w:rFonts w:ascii="Times New Roman" w:eastAsia="Times New Roman" w:hAnsi="Times New Roman" w:cs="Times New Roman"/>
                <w:b/>
                <w:bCs/>
                <w:iCs/>
                <w:sz w:val="28"/>
                <w:szCs w:val="28"/>
                <w:lang w:eastAsia="lv-LV"/>
              </w:rPr>
            </w:pPr>
            <w:r w:rsidRPr="00C8046B">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E5323B" w:rsidRPr="00483357" w:rsidTr="00E4390C">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w:t>
            </w:r>
          </w:p>
        </w:tc>
        <w:tc>
          <w:tcPr>
            <w:tcW w:w="1667"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Sabiedrības mērķgrupas, kuras tiesiskais regulējums ietekmē vai varētu ietekmēt</w:t>
            </w:r>
          </w:p>
        </w:tc>
        <w:tc>
          <w:tcPr>
            <w:tcW w:w="2974"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Saskaņā ar darbības programmas prioritārā virzienā „Vides aizsardzības un resursu izmantošanas efektivitāte” noteikto 5.5.1.SAM indikatīvā mērķa grupa ir pašvaldības, saistīto pakalpojumu sniedzēji (mazie, vidējie komersanti), iedzīvotāji, vietējie un starptautiskie tūristi.</w:t>
            </w:r>
          </w:p>
        </w:tc>
      </w:tr>
      <w:tr w:rsidR="00E5323B" w:rsidRPr="00483357" w:rsidTr="00E4390C">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2.</w:t>
            </w:r>
          </w:p>
        </w:tc>
        <w:tc>
          <w:tcPr>
            <w:tcW w:w="1667"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before="100" w:beforeAutospacing="1" w:after="0" w:afterAutospacing="1"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Tiesiskā regulējuma ietekme uz tautsaimniecību un administratīvo slogu</w:t>
            </w:r>
          </w:p>
        </w:tc>
        <w:tc>
          <w:tcPr>
            <w:tcW w:w="2974"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before="100" w:beforeAutospacing="1" w:after="0" w:afterAutospacing="1"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xml:space="preserve">Vērtējot Noteikumu projektu īstenošanas ietekmi uz administratīvajām procedūrām un to izmaksām, nav identificēts administratīvā sloga palielinājums potenciālajiem finansējuma saņēmējiem. Vērtējot Noteikumu projekta īstenošanas ietekmi uz administratīvajām procedūrām un to izmaksām, nav identificēts administratīvā sloga palielinājums ne </w:t>
            </w:r>
            <w:r w:rsidRPr="00C8046B">
              <w:rPr>
                <w:rFonts w:ascii="Times New Roman" w:eastAsia="Times New Roman" w:hAnsi="Times New Roman" w:cs="Times New Roman"/>
                <w:iCs/>
                <w:sz w:val="28"/>
                <w:szCs w:val="28"/>
                <w:lang w:eastAsia="lv-LV"/>
              </w:rPr>
              <w:lastRenderedPageBreak/>
              <w:t>potenciālajam finansējuma saņēmējam, ne ES fondu vadībā iesaistītajām institūcijām, jo Noteikumu projekts paredz 5.5.1.SAM trešās atlases kārtas ERAF finansējuma pārdali uz 5.5.1.SAM ceturto atlases kārtu.</w:t>
            </w:r>
          </w:p>
        </w:tc>
      </w:tr>
      <w:tr w:rsidR="00E5323B" w:rsidRPr="00483357" w:rsidTr="00E4390C">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lastRenderedPageBreak/>
              <w:t>3.</w:t>
            </w:r>
          </w:p>
        </w:tc>
        <w:tc>
          <w:tcPr>
            <w:tcW w:w="1667"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before="100" w:beforeAutospacing="1" w:after="0" w:afterAutospacing="1"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Administratīvo izmaksu monetārs novērtējums</w:t>
            </w:r>
          </w:p>
        </w:tc>
        <w:tc>
          <w:tcPr>
            <w:tcW w:w="2974"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before="100" w:beforeAutospacing="1" w:after="0" w:afterAutospacing="1"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xml:space="preserve">Finansējums, no kura tiek segtas ES fondu </w:t>
            </w:r>
            <w:r w:rsidRPr="00C8046B">
              <w:rPr>
                <w:rFonts w:ascii="Times New Roman" w:eastAsia="Times New Roman" w:hAnsi="Times New Roman" w:cs="Times New Roman"/>
                <w:iCs/>
                <w:sz w:val="28"/>
                <w:szCs w:val="28"/>
                <w:lang w:eastAsia="lv-LV"/>
              </w:rPr>
              <w:br/>
              <w:t>administrēšanas izmaksas, ir noteiktas  Eiropas Savienības struktūrfondu un Kohēzijas fonda 2014. – 2020.gada plānošanas perioda vadības likumā un tam pakārtotajos Ministru kabineta noteikumos.</w:t>
            </w:r>
          </w:p>
          <w:p w:rsidR="00350B47" w:rsidRPr="00483357" w:rsidRDefault="00C8046B" w:rsidP="00127480">
            <w:pPr>
              <w:spacing w:before="100" w:beforeAutospacing="1" w:after="0" w:afterAutospacing="1"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Ņemot vērā, ka Noteikumu projekta 50.punkts nosaka Centrālai finanšu un līgumu aģentūrai pienākumu nodrošināt projekta uzraudzību Komisijas Regulas Nr. </w:t>
            </w:r>
            <w:hyperlink r:id="rId9" w:tgtFrame="_blank" w:history="1">
              <w:r w:rsidRPr="00C8046B">
                <w:rPr>
                  <w:rFonts w:ascii="Times New Roman" w:eastAsia="Times New Roman" w:hAnsi="Times New Roman" w:cs="Times New Roman"/>
                  <w:iCs/>
                  <w:sz w:val="28"/>
                  <w:szCs w:val="28"/>
                  <w:lang w:eastAsia="lv-LV"/>
                </w:rPr>
                <w:t>480/2014</w:t>
              </w:r>
            </w:hyperlink>
            <w:r w:rsidR="00350B47" w:rsidRPr="00483357">
              <w:rPr>
                <w:rFonts w:ascii="Times New Roman" w:eastAsia="Times New Roman" w:hAnsi="Times New Roman" w:cs="Times New Roman"/>
                <w:iCs/>
                <w:sz w:val="28"/>
                <w:szCs w:val="28"/>
                <w:lang w:eastAsia="lv-LV"/>
              </w:rPr>
              <w:t> 1.</w:t>
            </w:r>
            <w:r w:rsidRPr="00C8046B">
              <w:rPr>
                <w:rFonts w:ascii="Times New Roman" w:eastAsia="Times New Roman" w:hAnsi="Times New Roman" w:cs="Times New Roman"/>
                <w:iCs/>
                <w:sz w:val="28"/>
                <w:szCs w:val="28"/>
                <w:lang w:eastAsia="lv-LV"/>
              </w:rPr>
              <w:t xml:space="preserve">pielikumā noteiktajā projekta pārskata periodā (projekta dzīves ciklā), projektā ietvertajam tiesiskajam regulējumam ir ietekme uz administratīvajām izmaksām (naudas izteiksmē). Tiek paredzēts, ka izmaksas Centrālā finanšu un līgumu </w:t>
            </w:r>
            <w:proofErr w:type="spellStart"/>
            <w:r w:rsidRPr="00C8046B">
              <w:rPr>
                <w:rFonts w:ascii="Times New Roman" w:eastAsia="Times New Roman" w:hAnsi="Times New Roman" w:cs="Times New Roman"/>
                <w:iCs/>
                <w:sz w:val="28"/>
                <w:szCs w:val="28"/>
                <w:lang w:eastAsia="lv-LV"/>
              </w:rPr>
              <w:t>ēgentūra</w:t>
            </w:r>
            <w:proofErr w:type="spellEnd"/>
            <w:r w:rsidRPr="00C8046B">
              <w:rPr>
                <w:rFonts w:ascii="Times New Roman" w:eastAsia="Times New Roman" w:hAnsi="Times New Roman" w:cs="Times New Roman"/>
                <w:iCs/>
                <w:sz w:val="28"/>
                <w:szCs w:val="28"/>
                <w:lang w:eastAsia="lv-LV"/>
              </w:rPr>
              <w:t xml:space="preserve">, lai nodrošinātu valsts atbalsta projekta uzraudzību vienam projektam ir 172,00 </w:t>
            </w:r>
            <w:proofErr w:type="spellStart"/>
            <w:r w:rsidRPr="00C8046B">
              <w:rPr>
                <w:rFonts w:ascii="Times New Roman" w:eastAsia="Times New Roman" w:hAnsi="Times New Roman" w:cs="Times New Roman"/>
                <w:i/>
                <w:iCs/>
                <w:sz w:val="28"/>
                <w:szCs w:val="28"/>
                <w:lang w:eastAsia="lv-LV"/>
              </w:rPr>
              <w:t>euro</w:t>
            </w:r>
            <w:proofErr w:type="spellEnd"/>
            <w:r w:rsidRPr="00C8046B">
              <w:rPr>
                <w:rFonts w:ascii="Times New Roman" w:eastAsia="Times New Roman" w:hAnsi="Times New Roman" w:cs="Times New Roman"/>
                <w:iCs/>
                <w:sz w:val="28"/>
                <w:szCs w:val="28"/>
                <w:lang w:eastAsia="lv-LV"/>
              </w:rPr>
              <w:t xml:space="preserve">, kas sevī ietver atalgojuma un darba vietas uzturēšanas izmaksas. Ja Noteikumu projekta 50.punktā minētās Centrālās </w:t>
            </w:r>
            <w:proofErr w:type="spellStart"/>
            <w:r w:rsidRPr="00C8046B">
              <w:rPr>
                <w:rFonts w:ascii="Times New Roman" w:eastAsia="Times New Roman" w:hAnsi="Times New Roman" w:cs="Times New Roman"/>
                <w:iCs/>
                <w:sz w:val="28"/>
                <w:szCs w:val="28"/>
                <w:lang w:eastAsia="lv-LV"/>
              </w:rPr>
              <w:t>finašu</w:t>
            </w:r>
            <w:proofErr w:type="spellEnd"/>
            <w:r w:rsidRPr="00C8046B">
              <w:rPr>
                <w:rFonts w:ascii="Times New Roman" w:eastAsia="Times New Roman" w:hAnsi="Times New Roman" w:cs="Times New Roman"/>
                <w:iCs/>
                <w:sz w:val="28"/>
                <w:szCs w:val="28"/>
                <w:lang w:eastAsia="lv-LV"/>
              </w:rPr>
              <w:t xml:space="preserve"> un līgumu aģentūras funkcijas īstenošana pārsniedz ES fondu 2014. – 2020.gada plānošanas perioda Tehniskās palīdzības projektu īstenošanas laiku, jautājums par nepieciešamo valsts budžeta finansējumu funkcijas īstenošanai ir skatāms kārtējā valsts budžeta sagatavošanas procesā, ievērojot valsts budžeta finansiālās iespējas.</w:t>
            </w:r>
          </w:p>
        </w:tc>
      </w:tr>
      <w:tr w:rsidR="00E5323B" w:rsidRPr="00483357" w:rsidTr="00E4390C">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4.</w:t>
            </w:r>
          </w:p>
        </w:tc>
        <w:tc>
          <w:tcPr>
            <w:tcW w:w="1667"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Atbilstības izmaksu monetārs novērtējums</w:t>
            </w:r>
          </w:p>
        </w:tc>
        <w:tc>
          <w:tcPr>
            <w:tcW w:w="2974"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Noteikumu projekts šo jomu neskar.</w:t>
            </w:r>
          </w:p>
        </w:tc>
      </w:tr>
      <w:tr w:rsidR="00E5323B" w:rsidRPr="00483357" w:rsidTr="00E4390C">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5.</w:t>
            </w:r>
          </w:p>
        </w:tc>
        <w:tc>
          <w:tcPr>
            <w:tcW w:w="1667"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Cita informācija</w:t>
            </w:r>
          </w:p>
        </w:tc>
        <w:tc>
          <w:tcPr>
            <w:tcW w:w="2974"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Nav</w:t>
            </w:r>
          </w:p>
        </w:tc>
      </w:tr>
    </w:tbl>
    <w:p w:rsidR="00F575DF" w:rsidRPr="00483357" w:rsidRDefault="00F575DF" w:rsidP="00956ABE">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50"/>
        <w:gridCol w:w="1029"/>
        <w:gridCol w:w="1130"/>
        <w:gridCol w:w="928"/>
        <w:gridCol w:w="1130"/>
        <w:gridCol w:w="928"/>
        <w:gridCol w:w="1130"/>
        <w:gridCol w:w="1196"/>
      </w:tblGrid>
      <w:tr w:rsidR="00B65CEF" w:rsidRPr="00483357" w:rsidTr="00DA210A">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b/>
                <w:bCs/>
                <w:iCs/>
                <w:sz w:val="28"/>
                <w:szCs w:val="28"/>
                <w:lang w:eastAsia="lv-LV"/>
              </w:rPr>
            </w:pPr>
            <w:r w:rsidRPr="00C8046B">
              <w:rPr>
                <w:rFonts w:ascii="Times New Roman" w:eastAsia="Times New Roman" w:hAnsi="Times New Roman" w:cs="Times New Roman"/>
                <w:b/>
                <w:bCs/>
                <w:iCs/>
                <w:sz w:val="28"/>
                <w:szCs w:val="28"/>
                <w:lang w:eastAsia="lv-LV"/>
              </w:rPr>
              <w:t>III. Tiesību akta projekta ietekme uz valsts budžetu un pašvaldību budžetiem</w:t>
            </w:r>
          </w:p>
        </w:tc>
      </w:tr>
      <w:tr w:rsidR="00B65CEF" w:rsidRPr="00483357" w:rsidTr="00DA210A">
        <w:trPr>
          <w:tblCellSpacing w:w="15" w:type="dxa"/>
        </w:trPr>
        <w:tc>
          <w:tcPr>
            <w:tcW w:w="903" w:type="pct"/>
            <w:vMerge w:val="restart"/>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Rādītāji</w:t>
            </w:r>
          </w:p>
        </w:tc>
        <w:tc>
          <w:tcPr>
            <w:tcW w:w="1128"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2020.gads</w:t>
            </w:r>
          </w:p>
        </w:tc>
        <w:tc>
          <w:tcPr>
            <w:tcW w:w="2904" w:type="pct"/>
            <w:gridSpan w:val="5"/>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Turpmākie trīs gadi (</w:t>
            </w:r>
            <w:r w:rsidRPr="00C8046B">
              <w:rPr>
                <w:rFonts w:ascii="Times New Roman" w:eastAsia="Times New Roman" w:hAnsi="Times New Roman" w:cs="Times New Roman"/>
                <w:i/>
                <w:iCs/>
                <w:sz w:val="28"/>
                <w:szCs w:val="28"/>
                <w:lang w:eastAsia="lv-LV"/>
              </w:rPr>
              <w:t>euro</w:t>
            </w:r>
            <w:r w:rsidRPr="00C8046B">
              <w:rPr>
                <w:rFonts w:ascii="Times New Roman" w:eastAsia="Times New Roman" w:hAnsi="Times New Roman" w:cs="Times New Roman"/>
                <w:iCs/>
                <w:sz w:val="28"/>
                <w:szCs w:val="28"/>
                <w:lang w:eastAsia="lv-LV"/>
              </w:rPr>
              <w:t>)</w:t>
            </w:r>
          </w:p>
        </w:tc>
      </w:tr>
      <w:tr w:rsidR="00B65CEF" w:rsidRPr="00483357" w:rsidTr="00DA210A">
        <w:trPr>
          <w:tblCellSpacing w:w="15" w:type="dxa"/>
        </w:trPr>
        <w:tc>
          <w:tcPr>
            <w:tcW w:w="903"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1128" w:type="pct"/>
            <w:gridSpan w:val="2"/>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1074" w:type="pct"/>
            <w:gridSpan w:val="2"/>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2021.gads</w:t>
            </w:r>
          </w:p>
        </w:tc>
        <w:tc>
          <w:tcPr>
            <w:tcW w:w="1074" w:type="pct"/>
            <w:gridSpan w:val="2"/>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2022.gads</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2023.gad</w:t>
            </w:r>
            <w:r w:rsidRPr="00C8046B">
              <w:rPr>
                <w:rFonts w:ascii="Times New Roman" w:eastAsia="Times New Roman" w:hAnsi="Times New Roman" w:cs="Times New Roman"/>
                <w:iCs/>
                <w:sz w:val="28"/>
                <w:szCs w:val="28"/>
                <w:lang w:eastAsia="lv-LV"/>
              </w:rPr>
              <w:lastRenderedPageBreak/>
              <w:t>s</w:t>
            </w:r>
          </w:p>
        </w:tc>
      </w:tr>
      <w:tr w:rsidR="00B65CEF" w:rsidRPr="00483357" w:rsidTr="00DA210A">
        <w:trPr>
          <w:tblCellSpacing w:w="15" w:type="dxa"/>
        </w:trPr>
        <w:tc>
          <w:tcPr>
            <w:tcW w:w="903"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saskaņā ar valsts budžetu kārtējam gadam</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izmaiņas kārtējā gadā, salīdzinot ar valsts budžetu kārtējam gadam</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saskaņā ar vidēja termiņa budžeta ietvaru</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izmaiņas, salīdzinot ar vidēja termiņa budžeta ietvaru 2021. gadam</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saskaņā ar vidēja termiņa budžeta ietvaru</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izmaiņas, salīdzinot ar vidēja termiņa budžeta ietvaru 2022. gadam</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izmaiņas, salīdzinot ar vidēja termiņa budžeta ietvaru 2022. gadam</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2</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3</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4</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5</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6</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7</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8</w:t>
            </w:r>
          </w:p>
        </w:tc>
      </w:tr>
      <w:tr w:rsidR="00B65CEF" w:rsidRPr="00483357" w:rsidTr="00DA210A">
        <w:trPr>
          <w:trHeight w:val="643"/>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 Budžeta ieņēmumi</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rHeight w:val="1467"/>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1.1. valsts pamatbudžets, tai skaitā ieņēmumi no maksas pakalpojumiem un citi pašu ieņēmumi</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 xml:space="preserve">1.2. valsts </w:t>
            </w:r>
            <w:r w:rsidR="00C8046B" w:rsidRPr="00C8046B">
              <w:rPr>
                <w:rFonts w:ascii="Times New Roman" w:eastAsia="Times New Roman" w:hAnsi="Times New Roman" w:cs="Times New Roman"/>
                <w:iCs/>
                <w:sz w:val="28"/>
                <w:szCs w:val="28"/>
                <w:lang w:eastAsia="lv-LV"/>
              </w:rPr>
              <w:t>speciālais budžets</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1.3. pašvaldību budžets</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2. Budžeta izdevumi</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2.1. valsts pamatbudžets</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2.2. valsts speciālais budžets</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2.3. pašvaldību budžets</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rHeight w:val="842"/>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3. Finansiālā ietekme</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rHeight w:val="842"/>
          <w:tblCellSpacing w:w="15" w:type="dxa"/>
        </w:trPr>
        <w:tc>
          <w:tcPr>
            <w:tcW w:w="903" w:type="pct"/>
            <w:tcBorders>
              <w:top w:val="outset" w:sz="6" w:space="0" w:color="auto"/>
              <w:left w:val="outset" w:sz="6" w:space="0" w:color="auto"/>
              <w:bottom w:val="outset" w:sz="6" w:space="0" w:color="auto"/>
              <w:right w:val="outset" w:sz="6" w:space="0" w:color="auto"/>
            </w:tcBorders>
            <w:shd w:val="clear" w:color="auto" w:fill="auto"/>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lastRenderedPageBreak/>
              <w:t>3.1. valsts pamatbudžets</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3.2. speciālais budžets</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3.3. pašvaldību budžets</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4. Finanšu līdzekļi papildu izdevumu finansēšanai (kompensējošu izdevumu samazinājumu norāda ar "+" zīmi)</w:t>
            </w:r>
          </w:p>
        </w:tc>
        <w:tc>
          <w:tcPr>
            <w:tcW w:w="529"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5. Precizēta finansiālā ietekme</w:t>
            </w:r>
          </w:p>
        </w:tc>
        <w:tc>
          <w:tcPr>
            <w:tcW w:w="529" w:type="pct"/>
            <w:vMerge w:val="restar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X</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vMerge w:val="restar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X</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vMerge w:val="restar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X</w:t>
            </w: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5.1. valsts pamatbudžets</w:t>
            </w:r>
          </w:p>
        </w:tc>
        <w:tc>
          <w:tcPr>
            <w:tcW w:w="529"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5.2. speciālais budžets</w:t>
            </w:r>
          </w:p>
        </w:tc>
        <w:tc>
          <w:tcPr>
            <w:tcW w:w="529"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before="100" w:beforeAutospacing="1" w:after="0" w:afterAutospacing="1"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before="100" w:beforeAutospacing="1" w:after="0" w:afterAutospacing="1"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5.3. pašvaldību budžets</w:t>
            </w:r>
          </w:p>
        </w:tc>
        <w:tc>
          <w:tcPr>
            <w:tcW w:w="529"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0</w:t>
            </w:r>
          </w:p>
        </w:tc>
        <w:tc>
          <w:tcPr>
            <w:tcW w:w="476" w:type="pct"/>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c>
          <w:tcPr>
            <w:tcW w:w="582"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c>
          <w:tcPr>
            <w:tcW w:w="723" w:type="pct"/>
            <w:tcBorders>
              <w:top w:val="outset" w:sz="6" w:space="0" w:color="auto"/>
              <w:left w:val="outset" w:sz="6" w:space="0" w:color="auto"/>
              <w:bottom w:val="outset" w:sz="6" w:space="0" w:color="auto"/>
              <w:right w:val="outset" w:sz="6" w:space="0" w:color="auto"/>
            </w:tcBorders>
            <w:vAlign w:val="center"/>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0</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 xml:space="preserve">6. Detalizēts ieņēmumu un izdevumu </w:t>
            </w:r>
            <w:r w:rsidR="00C8046B" w:rsidRPr="00C8046B">
              <w:rPr>
                <w:rFonts w:ascii="Times New Roman" w:eastAsia="Times New Roman" w:hAnsi="Times New Roman" w:cs="Times New Roman"/>
                <w:iCs/>
                <w:sz w:val="28"/>
                <w:szCs w:val="28"/>
                <w:lang w:eastAsia="lv-LV"/>
              </w:rPr>
              <w:t>aprēķins (ja nepieciešams, detalizētu ieņēmumu un izdevumu aprēķinu var pievienot anotācijas pielikumā)</w:t>
            </w:r>
          </w:p>
        </w:tc>
        <w:tc>
          <w:tcPr>
            <w:tcW w:w="4048" w:type="pct"/>
            <w:gridSpan w:val="7"/>
            <w:vMerge w:val="restart"/>
            <w:tcBorders>
              <w:top w:val="outset" w:sz="6" w:space="0" w:color="auto"/>
              <w:left w:val="outset" w:sz="6" w:space="0" w:color="auto"/>
              <w:bottom w:val="outset" w:sz="6" w:space="0" w:color="auto"/>
              <w:right w:val="outset" w:sz="6" w:space="0" w:color="auto"/>
            </w:tcBorders>
            <w:hideMark/>
          </w:tcPr>
          <w:p w:rsidR="00B65CEF" w:rsidRPr="00483357" w:rsidRDefault="00C8046B" w:rsidP="00DA210A">
            <w:pPr>
              <w:spacing w:after="0" w:line="240" w:lineRule="auto"/>
              <w:jc w:val="both"/>
              <w:rPr>
                <w:rFonts w:ascii="Times New Roman" w:hAnsi="Times New Roman" w:cs="Times New Roman"/>
                <w:sz w:val="28"/>
                <w:szCs w:val="28"/>
              </w:rPr>
            </w:pPr>
            <w:r w:rsidRPr="00C8046B">
              <w:rPr>
                <w:rFonts w:ascii="Times New Roman" w:eastAsia="Times New Roman" w:hAnsi="Times New Roman" w:cs="Times New Roman"/>
                <w:iCs/>
                <w:sz w:val="28"/>
                <w:szCs w:val="28"/>
                <w:lang w:eastAsia="lv-LV"/>
              </w:rPr>
              <w:t>Noteikumu projekts šo jomu neskar.</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 xml:space="preserve">6.1. detalizēts </w:t>
            </w:r>
            <w:r w:rsidRPr="00483357">
              <w:rPr>
                <w:rFonts w:ascii="Times New Roman" w:eastAsia="Times New Roman" w:hAnsi="Times New Roman" w:cs="Times New Roman"/>
                <w:iCs/>
                <w:sz w:val="28"/>
                <w:szCs w:val="28"/>
                <w:lang w:eastAsia="lv-LV"/>
              </w:rPr>
              <w:lastRenderedPageBreak/>
              <w:t>ieņēmumu aprēķins</w:t>
            </w:r>
          </w:p>
        </w:tc>
        <w:tc>
          <w:tcPr>
            <w:tcW w:w="4048" w:type="pct"/>
            <w:gridSpan w:val="7"/>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lastRenderedPageBreak/>
              <w:t>6.2. detalizēts izdevumu aprēķins</w:t>
            </w:r>
          </w:p>
        </w:tc>
        <w:tc>
          <w:tcPr>
            <w:tcW w:w="4048" w:type="pct"/>
            <w:gridSpan w:val="7"/>
            <w:vMerge/>
            <w:tcBorders>
              <w:top w:val="outset" w:sz="6" w:space="0" w:color="auto"/>
              <w:left w:val="outset" w:sz="6" w:space="0" w:color="auto"/>
              <w:bottom w:val="outset" w:sz="6" w:space="0" w:color="auto"/>
              <w:right w:val="outset" w:sz="6" w:space="0" w:color="auto"/>
            </w:tcBorders>
            <w:vAlign w:val="center"/>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7. Amata vietu skaita izmaiņas</w:t>
            </w:r>
          </w:p>
        </w:tc>
        <w:tc>
          <w:tcPr>
            <w:tcW w:w="4048" w:type="pct"/>
            <w:gridSpan w:val="7"/>
            <w:tcBorders>
              <w:top w:val="outset" w:sz="6" w:space="0" w:color="auto"/>
              <w:left w:val="outset" w:sz="6" w:space="0" w:color="auto"/>
              <w:bottom w:val="outset" w:sz="6" w:space="0" w:color="auto"/>
              <w:right w:val="outset" w:sz="6" w:space="0" w:color="auto"/>
            </w:tcBorders>
            <w:hideMark/>
          </w:tcPr>
          <w:p w:rsidR="00B65CEF" w:rsidRPr="00483357" w:rsidRDefault="00C8046B" w:rsidP="00DA210A">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Noteikumu projekts šo jomu neskar.</w:t>
            </w:r>
          </w:p>
        </w:tc>
      </w:tr>
      <w:tr w:rsidR="00B65CEF" w:rsidRPr="00483357" w:rsidTr="00DA210A">
        <w:trPr>
          <w:tblCellSpacing w:w="15" w:type="dxa"/>
        </w:trPr>
        <w:tc>
          <w:tcPr>
            <w:tcW w:w="903" w:type="pct"/>
            <w:tcBorders>
              <w:top w:val="outset" w:sz="6" w:space="0" w:color="auto"/>
              <w:left w:val="outset" w:sz="6" w:space="0" w:color="auto"/>
              <w:bottom w:val="outset" w:sz="6" w:space="0" w:color="auto"/>
              <w:right w:val="outset" w:sz="6" w:space="0" w:color="auto"/>
            </w:tcBorders>
            <w:hideMark/>
          </w:tcPr>
          <w:p w:rsidR="00B65CEF" w:rsidRPr="00483357" w:rsidRDefault="00B65CEF" w:rsidP="00DA210A">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8. Cita informācija</w:t>
            </w:r>
          </w:p>
        </w:tc>
        <w:tc>
          <w:tcPr>
            <w:tcW w:w="4048" w:type="pct"/>
            <w:gridSpan w:val="7"/>
            <w:tcBorders>
              <w:top w:val="outset" w:sz="6" w:space="0" w:color="auto"/>
              <w:left w:val="outset" w:sz="6" w:space="0" w:color="auto"/>
              <w:bottom w:val="outset" w:sz="6" w:space="0" w:color="auto"/>
              <w:right w:val="outset" w:sz="6" w:space="0" w:color="auto"/>
            </w:tcBorders>
            <w:hideMark/>
          </w:tcPr>
          <w:p w:rsidR="00B65CEF" w:rsidRPr="00483357" w:rsidRDefault="00C8046B" w:rsidP="0004749F">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Noteikumu projekts paredz pārdalīt no 5.5.1.SAM trešās atlases kārtas:</w:t>
            </w:r>
          </w:p>
          <w:p w:rsidR="00B65CEF" w:rsidRPr="00483357" w:rsidRDefault="00C8046B" w:rsidP="00127480">
            <w:pPr>
              <w:pStyle w:val="Sarakstarindkopa"/>
              <w:numPr>
                <w:ilvl w:val="0"/>
                <w:numId w:val="20"/>
              </w:numPr>
              <w:spacing w:after="0" w:line="240" w:lineRule="auto"/>
              <w:ind w:left="406" w:hanging="406"/>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sz w:val="28"/>
                <w:szCs w:val="28"/>
                <w:lang w:eastAsia="lv-LV"/>
              </w:rPr>
              <w:t>ERAF finansējumu 7 092 193</w:t>
            </w:r>
            <w:r w:rsidRPr="00C8046B">
              <w:rPr>
                <w:rFonts w:ascii="Times New Roman" w:eastAsia="Times New Roman" w:hAnsi="Times New Roman" w:cs="Times New Roman"/>
                <w:i/>
                <w:sz w:val="28"/>
                <w:szCs w:val="28"/>
                <w:lang w:eastAsia="lv-LV"/>
              </w:rPr>
              <w:t xml:space="preserve"> euro</w:t>
            </w:r>
            <w:r w:rsidRPr="00C8046B">
              <w:rPr>
                <w:rFonts w:ascii="Times New Roman" w:eastAsia="Times New Roman" w:hAnsi="Times New Roman" w:cs="Times New Roman"/>
                <w:sz w:val="28"/>
                <w:szCs w:val="28"/>
                <w:lang w:eastAsia="lv-LV"/>
              </w:rPr>
              <w:t xml:space="preserve"> uz 5.5.1.SAM IV atlases kārtu;</w:t>
            </w:r>
          </w:p>
          <w:p w:rsidR="00B65CEF" w:rsidRPr="00483357" w:rsidRDefault="00C8046B" w:rsidP="00127480">
            <w:pPr>
              <w:pStyle w:val="Sarakstarindkopa"/>
              <w:numPr>
                <w:ilvl w:val="0"/>
                <w:numId w:val="20"/>
              </w:numPr>
              <w:spacing w:after="0" w:line="240" w:lineRule="auto"/>
              <w:ind w:left="406" w:hanging="406"/>
              <w:jc w:val="both"/>
              <w:rPr>
                <w:rFonts w:ascii="Times New Roman" w:eastAsia="Times New Roman" w:hAnsi="Times New Roman" w:cs="Times New Roman"/>
                <w:sz w:val="28"/>
                <w:szCs w:val="28"/>
                <w:lang w:eastAsia="lv-LV"/>
              </w:rPr>
            </w:pPr>
            <w:r w:rsidRPr="00C8046B">
              <w:rPr>
                <w:rFonts w:ascii="Times New Roman" w:eastAsia="Times New Roman" w:hAnsi="Times New Roman" w:cs="Times New Roman"/>
                <w:sz w:val="28"/>
                <w:szCs w:val="28"/>
                <w:lang w:eastAsia="lv-LV"/>
              </w:rPr>
              <w:t xml:space="preserve">ERAF jeb </w:t>
            </w:r>
            <w:proofErr w:type="spellStart"/>
            <w:r w:rsidRPr="00C8046B">
              <w:rPr>
                <w:rFonts w:ascii="Times New Roman" w:eastAsia="Times New Roman" w:hAnsi="Times New Roman" w:cs="Times New Roman"/>
                <w:sz w:val="28"/>
                <w:szCs w:val="28"/>
                <w:lang w:eastAsia="lv-LV"/>
              </w:rPr>
              <w:t>virssaistību</w:t>
            </w:r>
            <w:proofErr w:type="spellEnd"/>
            <w:r w:rsidRPr="00C8046B">
              <w:rPr>
                <w:rFonts w:ascii="Times New Roman" w:eastAsia="Times New Roman" w:hAnsi="Times New Roman" w:cs="Times New Roman"/>
                <w:sz w:val="28"/>
                <w:szCs w:val="28"/>
                <w:lang w:eastAsia="lv-LV"/>
              </w:rPr>
              <w:t xml:space="preserve"> finansējums 906 885 </w:t>
            </w:r>
            <w:r w:rsidRPr="00C8046B">
              <w:rPr>
                <w:rFonts w:ascii="Times New Roman" w:eastAsia="Times New Roman" w:hAnsi="Times New Roman" w:cs="Times New Roman"/>
                <w:i/>
                <w:sz w:val="28"/>
                <w:szCs w:val="28"/>
                <w:lang w:eastAsia="lv-LV"/>
              </w:rPr>
              <w:t>euro</w:t>
            </w:r>
            <w:r w:rsidRPr="00C8046B">
              <w:rPr>
                <w:rFonts w:ascii="Times New Roman" w:eastAsia="Times New Roman" w:hAnsi="Times New Roman" w:cs="Times New Roman"/>
                <w:sz w:val="28"/>
                <w:szCs w:val="28"/>
                <w:lang w:eastAsia="lv-LV"/>
              </w:rPr>
              <w:t xml:space="preserve"> uz 5.5.1.SAM ceturto atlases kārtu.</w:t>
            </w:r>
          </w:p>
          <w:p w:rsidR="00B65CEF" w:rsidRPr="00483357" w:rsidRDefault="00C8046B" w:rsidP="0004749F">
            <w:pPr>
              <w:spacing w:after="0" w:line="240" w:lineRule="auto"/>
              <w:ind w:firstLine="567"/>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 xml:space="preserve">Ņemot vērā to, ka Noteikumu projekts paredz ERAF un </w:t>
            </w:r>
            <w:proofErr w:type="spellStart"/>
            <w:r w:rsidRPr="00C8046B">
              <w:rPr>
                <w:rFonts w:ascii="Times New Roman" w:eastAsia="Times New Roman" w:hAnsi="Times New Roman" w:cs="Times New Roman"/>
                <w:iCs/>
                <w:sz w:val="28"/>
                <w:szCs w:val="28"/>
                <w:lang w:eastAsia="lv-LV"/>
              </w:rPr>
              <w:t>virssaistību</w:t>
            </w:r>
            <w:proofErr w:type="spellEnd"/>
            <w:r w:rsidRPr="00C8046B">
              <w:rPr>
                <w:rFonts w:ascii="Times New Roman" w:eastAsia="Times New Roman" w:hAnsi="Times New Roman" w:cs="Times New Roman"/>
                <w:iCs/>
                <w:sz w:val="28"/>
                <w:szCs w:val="28"/>
                <w:lang w:eastAsia="lv-LV"/>
              </w:rPr>
              <w:t xml:space="preserve"> finansējuma pārdali no 5.5.1.SAM trešās atlases kārtas uz 5.5.1.SAM ceturto atlases kārtu, Noteikumu projektam ir neitrāla ietekme uz valsts budžetu. </w:t>
            </w:r>
          </w:p>
        </w:tc>
      </w:tr>
    </w:tbl>
    <w:p w:rsidR="00B65CEF" w:rsidRPr="00483357" w:rsidRDefault="00B65CEF" w:rsidP="00956ABE">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1"/>
        <w:gridCol w:w="3264"/>
        <w:gridCol w:w="5316"/>
      </w:tblGrid>
      <w:tr w:rsidR="001E7495" w:rsidRPr="00483357" w:rsidTr="00DA210A">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A1F59" w:rsidRPr="00483357" w:rsidRDefault="00C8046B">
            <w:pPr>
              <w:spacing w:after="0" w:line="240" w:lineRule="auto"/>
              <w:jc w:val="center"/>
              <w:rPr>
                <w:rFonts w:ascii="Times New Roman" w:eastAsia="Times New Roman" w:hAnsi="Times New Roman" w:cs="Times New Roman"/>
                <w:b/>
                <w:bCs/>
                <w:iCs/>
                <w:sz w:val="28"/>
                <w:szCs w:val="28"/>
                <w:lang w:eastAsia="lv-LV"/>
              </w:rPr>
            </w:pPr>
            <w:r w:rsidRPr="00C8046B">
              <w:rPr>
                <w:rFonts w:ascii="Times New Roman" w:eastAsia="Times New Roman" w:hAnsi="Times New Roman" w:cs="Times New Roman"/>
                <w:b/>
                <w:bCs/>
                <w:iCs/>
                <w:sz w:val="28"/>
                <w:szCs w:val="28"/>
                <w:lang w:eastAsia="lv-LV"/>
              </w:rPr>
              <w:t>IV. Tiesību akta projekta ietekme uz spēkā esošo tiesību normu sistēmu</w:t>
            </w:r>
          </w:p>
        </w:tc>
      </w:tr>
      <w:tr w:rsidR="001E7495" w:rsidRPr="00483357" w:rsidTr="00DA210A">
        <w:trPr>
          <w:tblCellSpacing w:w="15" w:type="dxa"/>
        </w:trPr>
        <w:tc>
          <w:tcPr>
            <w:tcW w:w="323" w:type="pct"/>
            <w:tcBorders>
              <w:top w:val="outset" w:sz="6" w:space="0" w:color="auto"/>
              <w:left w:val="outset" w:sz="6" w:space="0" w:color="auto"/>
              <w:bottom w:val="outset" w:sz="6" w:space="0" w:color="auto"/>
              <w:right w:val="outset" w:sz="6" w:space="0" w:color="auto"/>
            </w:tcBorders>
            <w:hideMark/>
          </w:tcPr>
          <w:p w:rsidR="008A0D5B" w:rsidRPr="00483357" w:rsidRDefault="001E7495" w:rsidP="008A0D5B">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w:t>
            </w:r>
          </w:p>
        </w:tc>
        <w:tc>
          <w:tcPr>
            <w:tcW w:w="1754" w:type="pct"/>
            <w:tcBorders>
              <w:top w:val="outset" w:sz="6" w:space="0" w:color="auto"/>
              <w:left w:val="outset" w:sz="6" w:space="0" w:color="auto"/>
              <w:bottom w:val="outset" w:sz="6" w:space="0" w:color="auto"/>
              <w:right w:val="outset" w:sz="6" w:space="0" w:color="auto"/>
            </w:tcBorders>
          </w:tcPr>
          <w:p w:rsidR="00CA1F59" w:rsidRPr="00483357" w:rsidRDefault="00C8046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Saistītie tiesību aktu projekti</w:t>
            </w:r>
          </w:p>
        </w:tc>
        <w:tc>
          <w:tcPr>
            <w:tcW w:w="2858" w:type="pct"/>
            <w:tcBorders>
              <w:top w:val="outset" w:sz="6" w:space="0" w:color="auto"/>
              <w:left w:val="outset" w:sz="6" w:space="0" w:color="auto"/>
              <w:bottom w:val="outset" w:sz="6" w:space="0" w:color="auto"/>
              <w:right w:val="outset" w:sz="6" w:space="0" w:color="auto"/>
            </w:tcBorders>
          </w:tcPr>
          <w:p w:rsidR="00CA1F59" w:rsidRPr="00483357" w:rsidRDefault="00C8046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Nepieciešams veikt grozījumus Ministru kabineta 2015.gada 10.novembra rīkojumā Nr.709 „Par integrēto teritoriālo investīciju specifisko atbalsta mērķu finansējuma kopējo apjomu katram nacionālas nozīmes attīstības centram un kopējiem rezultatīvajiem rādītājiem nacionālas nozīmes attīstības centru grupai” (turpmāk – Rīkojums Nr.709)</w:t>
            </w:r>
          </w:p>
        </w:tc>
      </w:tr>
      <w:tr w:rsidR="001E7495" w:rsidRPr="00483357" w:rsidTr="00DA210A">
        <w:trPr>
          <w:tblCellSpacing w:w="15" w:type="dxa"/>
        </w:trPr>
        <w:tc>
          <w:tcPr>
            <w:tcW w:w="323" w:type="pct"/>
            <w:tcBorders>
              <w:top w:val="outset" w:sz="6" w:space="0" w:color="auto"/>
              <w:left w:val="outset" w:sz="6" w:space="0" w:color="auto"/>
              <w:bottom w:val="outset" w:sz="6" w:space="0" w:color="auto"/>
              <w:right w:val="outset" w:sz="6" w:space="0" w:color="auto"/>
            </w:tcBorders>
            <w:hideMark/>
          </w:tcPr>
          <w:p w:rsidR="008A0D5B" w:rsidRPr="00483357" w:rsidRDefault="001E7495" w:rsidP="008A0D5B">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2.</w:t>
            </w:r>
          </w:p>
        </w:tc>
        <w:tc>
          <w:tcPr>
            <w:tcW w:w="1754" w:type="pct"/>
            <w:tcBorders>
              <w:top w:val="outset" w:sz="6" w:space="0" w:color="auto"/>
              <w:left w:val="outset" w:sz="6" w:space="0" w:color="auto"/>
              <w:bottom w:val="outset" w:sz="6" w:space="0" w:color="auto"/>
              <w:right w:val="outset" w:sz="6" w:space="0" w:color="auto"/>
            </w:tcBorders>
          </w:tcPr>
          <w:p w:rsidR="00CA1F59" w:rsidRPr="00483357" w:rsidRDefault="00C8046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Atbildīgā institūcija</w:t>
            </w:r>
          </w:p>
        </w:tc>
        <w:tc>
          <w:tcPr>
            <w:tcW w:w="2858" w:type="pct"/>
            <w:tcBorders>
              <w:top w:val="outset" w:sz="6" w:space="0" w:color="auto"/>
              <w:left w:val="outset" w:sz="6" w:space="0" w:color="auto"/>
              <w:bottom w:val="outset" w:sz="6" w:space="0" w:color="auto"/>
              <w:right w:val="outset" w:sz="6" w:space="0" w:color="auto"/>
            </w:tcBorders>
          </w:tcPr>
          <w:p w:rsidR="00CA1F59" w:rsidRPr="00483357" w:rsidRDefault="00C8046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Par Rīkojuma Nr.709 grozījumu projekta izstrādi atbildīgā institūcija – Vides aizsardzības un reģionālās attīstības ministrija.</w:t>
            </w:r>
          </w:p>
        </w:tc>
      </w:tr>
      <w:tr w:rsidR="001E7495" w:rsidRPr="00483357" w:rsidTr="00DA210A">
        <w:trPr>
          <w:tblCellSpacing w:w="15" w:type="dxa"/>
        </w:trPr>
        <w:tc>
          <w:tcPr>
            <w:tcW w:w="323" w:type="pct"/>
            <w:tcBorders>
              <w:top w:val="outset" w:sz="6" w:space="0" w:color="auto"/>
              <w:left w:val="outset" w:sz="6" w:space="0" w:color="auto"/>
              <w:bottom w:val="outset" w:sz="6" w:space="0" w:color="auto"/>
              <w:right w:val="outset" w:sz="6" w:space="0" w:color="auto"/>
            </w:tcBorders>
            <w:hideMark/>
          </w:tcPr>
          <w:p w:rsidR="008A0D5B" w:rsidRPr="00483357" w:rsidRDefault="001E7495" w:rsidP="008A0D5B">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3.</w:t>
            </w:r>
          </w:p>
        </w:tc>
        <w:tc>
          <w:tcPr>
            <w:tcW w:w="1754" w:type="pct"/>
            <w:tcBorders>
              <w:top w:val="outset" w:sz="6" w:space="0" w:color="auto"/>
              <w:left w:val="outset" w:sz="6" w:space="0" w:color="auto"/>
              <w:bottom w:val="outset" w:sz="6" w:space="0" w:color="auto"/>
              <w:right w:val="outset" w:sz="6" w:space="0" w:color="auto"/>
            </w:tcBorders>
          </w:tcPr>
          <w:p w:rsidR="00CA1F59" w:rsidRPr="00483357" w:rsidRDefault="00C8046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Cita informācija</w:t>
            </w:r>
          </w:p>
        </w:tc>
        <w:tc>
          <w:tcPr>
            <w:tcW w:w="2858" w:type="pct"/>
            <w:tcBorders>
              <w:top w:val="outset" w:sz="6" w:space="0" w:color="auto"/>
              <w:left w:val="outset" w:sz="6" w:space="0" w:color="auto"/>
              <w:bottom w:val="outset" w:sz="6" w:space="0" w:color="auto"/>
              <w:right w:val="outset" w:sz="6" w:space="0" w:color="auto"/>
            </w:tcBorders>
          </w:tcPr>
          <w:p w:rsidR="008A0D5B" w:rsidRPr="00483357" w:rsidRDefault="00C8046B" w:rsidP="008A0D5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Nav</w:t>
            </w:r>
          </w:p>
        </w:tc>
      </w:tr>
    </w:tbl>
    <w:p w:rsidR="001E7495" w:rsidRPr="00483357" w:rsidRDefault="001E7495" w:rsidP="00956ABE">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53285B" w:rsidRPr="00483357" w:rsidTr="00F61925">
        <w:trPr>
          <w:tblCellSpacing w:w="15" w:type="dxa"/>
        </w:trPr>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2"/>
              <w:gridCol w:w="3239"/>
              <w:gridCol w:w="5234"/>
            </w:tblGrid>
            <w:tr w:rsidR="0053285B" w:rsidRPr="00483357" w:rsidTr="00F61925">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521A4" w:rsidRPr="00483357" w:rsidRDefault="00C8046B">
                  <w:pPr>
                    <w:spacing w:after="0" w:line="240" w:lineRule="auto"/>
                    <w:jc w:val="center"/>
                    <w:rPr>
                      <w:rFonts w:ascii="Times New Roman" w:eastAsia="Times New Roman" w:hAnsi="Times New Roman" w:cs="Times New Roman"/>
                      <w:b/>
                      <w:bCs/>
                      <w:iCs/>
                      <w:color w:val="414142"/>
                      <w:sz w:val="28"/>
                      <w:szCs w:val="28"/>
                      <w:lang w:eastAsia="lv-LV"/>
                    </w:rPr>
                  </w:pPr>
                  <w:r w:rsidRPr="00C8046B">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53285B" w:rsidRPr="00483357" w:rsidTr="001274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53285B" w:rsidRPr="00483357" w:rsidRDefault="0053285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w:t>
                  </w:r>
                </w:p>
              </w:tc>
              <w:tc>
                <w:tcPr>
                  <w:tcW w:w="1772"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Saistības pret Eiropas Savienību</w:t>
                  </w:r>
                </w:p>
              </w:tc>
              <w:tc>
                <w:tcPr>
                  <w:tcW w:w="2866" w:type="pct"/>
                  <w:tcBorders>
                    <w:top w:val="outset" w:sz="6" w:space="0" w:color="auto"/>
                    <w:left w:val="outset" w:sz="6" w:space="0" w:color="auto"/>
                    <w:bottom w:val="outset" w:sz="6" w:space="0" w:color="auto"/>
                    <w:right w:val="outset" w:sz="6" w:space="0" w:color="auto"/>
                  </w:tcBorders>
                  <w:hideMark/>
                </w:tcPr>
                <w:p w:rsidR="00D521A4" w:rsidRPr="00483357" w:rsidRDefault="00C8046B" w:rsidP="00D521A4">
                  <w:pPr>
                    <w:spacing w:after="0" w:line="240" w:lineRule="auto"/>
                    <w:jc w:val="both"/>
                    <w:rPr>
                      <w:rFonts w:ascii="Times New Roman" w:hAnsi="Times New Roman" w:cs="Times New Roman"/>
                      <w:bCs/>
                      <w:sz w:val="28"/>
                      <w:szCs w:val="28"/>
                    </w:rPr>
                  </w:pPr>
                  <w:r w:rsidRPr="00C8046B">
                    <w:rPr>
                      <w:rFonts w:ascii="Times New Roman" w:hAnsi="Times New Roman" w:cs="Times New Roman"/>
                      <w:bCs/>
                      <w:sz w:val="28"/>
                      <w:szCs w:val="28"/>
                    </w:rPr>
                    <w:t>Ar Noteikumu p</w:t>
                  </w:r>
                  <w:r w:rsidRPr="00C8046B">
                    <w:rPr>
                      <w:rFonts w:ascii="Times New Roman" w:hAnsi="Times New Roman" w:cs="Times New Roman"/>
                      <w:sz w:val="28"/>
                      <w:szCs w:val="28"/>
                    </w:rPr>
                    <w:t>rojektu</w:t>
                  </w:r>
                  <w:r w:rsidRPr="00C8046B">
                    <w:rPr>
                      <w:rFonts w:ascii="Times New Roman" w:hAnsi="Times New Roman" w:cs="Times New Roman"/>
                      <w:bCs/>
                      <w:sz w:val="28"/>
                      <w:szCs w:val="28"/>
                    </w:rPr>
                    <w:t xml:space="preserve"> tiks ieviestas prasības no šādiem Eiropas Savienības tiesību aktiem:</w:t>
                  </w:r>
                </w:p>
                <w:p w:rsidR="00D521A4" w:rsidRPr="00483357" w:rsidRDefault="00C8046B" w:rsidP="00D521A4">
                  <w:pPr>
                    <w:pStyle w:val="Sarakstarindkopa"/>
                    <w:numPr>
                      <w:ilvl w:val="1"/>
                      <w:numId w:val="30"/>
                    </w:numPr>
                    <w:spacing w:after="0" w:line="240" w:lineRule="auto"/>
                    <w:ind w:left="357" w:hanging="357"/>
                    <w:contextualSpacing w:val="0"/>
                    <w:jc w:val="both"/>
                    <w:rPr>
                      <w:rFonts w:ascii="Times New Roman" w:hAnsi="Times New Roman" w:cs="Times New Roman"/>
                      <w:bCs/>
                      <w:sz w:val="28"/>
                      <w:szCs w:val="28"/>
                    </w:rPr>
                  </w:pPr>
                  <w:r w:rsidRPr="00C8046B">
                    <w:rPr>
                      <w:rFonts w:ascii="Times New Roman" w:hAnsi="Times New Roman" w:cs="Times New Roman"/>
                      <w:bCs/>
                      <w:sz w:val="28"/>
                      <w:szCs w:val="28"/>
                    </w:rPr>
                    <w:t>Komisijas regula Nr.651/2014;</w:t>
                  </w:r>
                </w:p>
                <w:p w:rsidR="00D521A4" w:rsidRPr="00483357" w:rsidRDefault="00C8046B" w:rsidP="00D521A4">
                  <w:pPr>
                    <w:pStyle w:val="Sarakstarindkopa"/>
                    <w:numPr>
                      <w:ilvl w:val="1"/>
                      <w:numId w:val="30"/>
                    </w:numPr>
                    <w:spacing w:after="0" w:line="240" w:lineRule="auto"/>
                    <w:ind w:left="357" w:hanging="357"/>
                    <w:contextualSpacing w:val="0"/>
                    <w:jc w:val="both"/>
                    <w:rPr>
                      <w:rFonts w:ascii="Times New Roman" w:hAnsi="Times New Roman" w:cs="Times New Roman"/>
                      <w:bCs/>
                      <w:sz w:val="28"/>
                      <w:szCs w:val="28"/>
                    </w:rPr>
                  </w:pPr>
                  <w:r w:rsidRPr="00C8046B">
                    <w:rPr>
                      <w:rFonts w:ascii="Times New Roman" w:eastAsia="Times New Roman" w:hAnsi="Times New Roman" w:cs="Times New Roman"/>
                      <w:sz w:val="28"/>
                      <w:szCs w:val="28"/>
                    </w:rPr>
                    <w:lastRenderedPageBreak/>
                    <w:t>Komisijas regula Nr.794/2004;</w:t>
                  </w:r>
                </w:p>
                <w:p w:rsidR="00D521A4" w:rsidRPr="00483357" w:rsidRDefault="00096671" w:rsidP="00D521A4">
                  <w:pPr>
                    <w:pStyle w:val="Sarakstarindkopa"/>
                    <w:numPr>
                      <w:ilvl w:val="1"/>
                      <w:numId w:val="30"/>
                    </w:numPr>
                    <w:spacing w:after="0" w:line="240" w:lineRule="auto"/>
                    <w:ind w:left="357" w:hanging="357"/>
                    <w:contextualSpacing w:val="0"/>
                    <w:jc w:val="both"/>
                    <w:rPr>
                      <w:rFonts w:ascii="Times New Roman" w:hAnsi="Times New Roman" w:cs="Times New Roman"/>
                      <w:bCs/>
                      <w:sz w:val="28"/>
                      <w:szCs w:val="28"/>
                    </w:rPr>
                  </w:pPr>
                  <w:r w:rsidRPr="00483357">
                    <w:rPr>
                      <w:rFonts w:ascii="Times New Roman" w:hAnsi="Times New Roman" w:cs="Times New Roman"/>
                      <w:sz w:val="28"/>
                      <w:szCs w:val="28"/>
                    </w:rPr>
                    <w:t>Komisijas regula Nr.480/2014</w:t>
                  </w:r>
                  <w:r w:rsidR="00C8046B" w:rsidRPr="00C8046B">
                    <w:rPr>
                      <w:rFonts w:ascii="Times New Roman" w:hAnsi="Times New Roman" w:cs="Times New Roman"/>
                      <w:sz w:val="28"/>
                      <w:szCs w:val="28"/>
                    </w:rPr>
                    <w:t>.</w:t>
                  </w:r>
                </w:p>
              </w:tc>
            </w:tr>
            <w:tr w:rsidR="0053285B" w:rsidRPr="00483357" w:rsidTr="001274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53285B" w:rsidRPr="00483357" w:rsidRDefault="0053285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lastRenderedPageBreak/>
                    <w:t>2.</w:t>
                  </w:r>
                </w:p>
              </w:tc>
              <w:tc>
                <w:tcPr>
                  <w:tcW w:w="1772"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Citas starptautiskās saistības</w:t>
                  </w:r>
                </w:p>
              </w:tc>
              <w:tc>
                <w:tcPr>
                  <w:tcW w:w="2866"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Noteikumu projekts šo jomu neskar.</w:t>
                  </w:r>
                </w:p>
              </w:tc>
            </w:tr>
            <w:tr w:rsidR="0053285B" w:rsidRPr="00483357" w:rsidTr="001274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53285B" w:rsidRPr="00483357" w:rsidRDefault="0053285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3.</w:t>
                  </w:r>
                </w:p>
              </w:tc>
              <w:tc>
                <w:tcPr>
                  <w:tcW w:w="1772"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Cita informācija</w:t>
                  </w:r>
                </w:p>
              </w:tc>
              <w:tc>
                <w:tcPr>
                  <w:tcW w:w="2866"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Nav</w:t>
                  </w:r>
                </w:p>
              </w:tc>
            </w:tr>
          </w:tbl>
          <w:p w:rsidR="0053285B" w:rsidRPr="00483357" w:rsidRDefault="0053285B" w:rsidP="00956ABE">
            <w:pPr>
              <w:spacing w:after="0" w:line="240" w:lineRule="auto"/>
              <w:rPr>
                <w:rFonts w:ascii="Times New Roman" w:eastAsia="Times New Roman" w:hAnsi="Times New Roman" w:cs="Times New Roman"/>
                <w:iCs/>
                <w:sz w:val="28"/>
                <w:szCs w:val="28"/>
              </w:rPr>
            </w:pPr>
          </w:p>
        </w:tc>
      </w:tr>
      <w:tr w:rsidR="0053285B" w:rsidRPr="00483357" w:rsidTr="00F61925">
        <w:trPr>
          <w:tblCellSpacing w:w="15" w:type="dxa"/>
        </w:trPr>
        <w:tc>
          <w:tcPr>
            <w:tcW w:w="4967"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445"/>
              <w:gridCol w:w="2275"/>
              <w:gridCol w:w="1590"/>
              <w:gridCol w:w="2745"/>
            </w:tblGrid>
            <w:tr w:rsidR="0053285B" w:rsidRPr="00483357" w:rsidTr="00F61925">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53285B" w:rsidRPr="00483357" w:rsidRDefault="0053285B" w:rsidP="00956ABE">
                  <w:pPr>
                    <w:spacing w:after="0" w:line="240" w:lineRule="auto"/>
                    <w:jc w:val="center"/>
                    <w:rPr>
                      <w:rFonts w:ascii="Times New Roman" w:eastAsia="Times New Roman" w:hAnsi="Times New Roman" w:cs="Times New Roman"/>
                      <w:iCs/>
                      <w:sz w:val="28"/>
                      <w:szCs w:val="28"/>
                      <w:lang w:eastAsia="lv-LV"/>
                    </w:rPr>
                  </w:pPr>
                  <w:bookmarkStart w:id="0" w:name="_GoBack"/>
                  <w:r w:rsidRPr="00483357">
                    <w:rPr>
                      <w:rFonts w:ascii="Times New Roman" w:eastAsia="Times New Roman" w:hAnsi="Times New Roman" w:cs="Times New Roman"/>
                      <w:b/>
                      <w:bCs/>
                      <w:iCs/>
                      <w:sz w:val="28"/>
                      <w:szCs w:val="28"/>
                      <w:lang w:eastAsia="lv-LV"/>
                    </w:rPr>
                    <w:lastRenderedPageBreak/>
                    <w:t>1. tabula</w:t>
                  </w:r>
                  <w:r w:rsidRPr="00483357">
                    <w:rPr>
                      <w:rFonts w:ascii="Times New Roman" w:eastAsia="Times New Roman" w:hAnsi="Times New Roman" w:cs="Times New Roman"/>
                      <w:b/>
                      <w:bCs/>
                      <w:iCs/>
                      <w:sz w:val="28"/>
                      <w:szCs w:val="28"/>
                      <w:lang w:eastAsia="lv-LV"/>
                    </w:rPr>
                    <w:br/>
                    <w:t>Tiesību akta projekta atbilstība ES tiesību aktiem</w:t>
                  </w:r>
                </w:p>
              </w:tc>
            </w:tr>
            <w:tr w:rsidR="0053285B" w:rsidRPr="00483357" w:rsidTr="003D0A75">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53285B" w:rsidRPr="00483357" w:rsidRDefault="0053285B" w:rsidP="00956ABE">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Attiecīgā ES tiesību akta datums, numurs un nosaukums</w:t>
                  </w:r>
                </w:p>
              </w:tc>
              <w:tc>
                <w:tcPr>
                  <w:tcW w:w="3625" w:type="pct"/>
                  <w:gridSpan w:val="3"/>
                  <w:tcBorders>
                    <w:top w:val="outset" w:sz="6" w:space="0" w:color="auto"/>
                    <w:left w:val="outset" w:sz="6" w:space="0" w:color="auto"/>
                    <w:bottom w:val="outset" w:sz="6" w:space="0" w:color="auto"/>
                    <w:right w:val="outset" w:sz="6" w:space="0" w:color="auto"/>
                  </w:tcBorders>
                  <w:hideMark/>
                </w:tcPr>
                <w:p w:rsidR="00D521A4" w:rsidRPr="00483357" w:rsidRDefault="00C8046B" w:rsidP="00D521A4">
                  <w:pPr>
                    <w:pStyle w:val="naiskr"/>
                    <w:numPr>
                      <w:ilvl w:val="0"/>
                      <w:numId w:val="29"/>
                    </w:numPr>
                    <w:spacing w:before="0" w:beforeAutospacing="0" w:after="0" w:afterAutospacing="0"/>
                    <w:ind w:left="377"/>
                    <w:jc w:val="both"/>
                    <w:rPr>
                      <w:sz w:val="28"/>
                      <w:szCs w:val="28"/>
                      <w:lang w:eastAsia="en-US"/>
                    </w:rPr>
                  </w:pPr>
                  <w:r w:rsidRPr="00C8046B">
                    <w:rPr>
                      <w:sz w:val="28"/>
                      <w:szCs w:val="28"/>
                      <w:lang w:eastAsia="en-US"/>
                    </w:rPr>
                    <w:t>Komisijas regula Nr.</w:t>
                  </w:r>
                  <w:r w:rsidRPr="00C8046B">
                    <w:rPr>
                      <w:bCs/>
                      <w:sz w:val="28"/>
                      <w:szCs w:val="28"/>
                    </w:rPr>
                    <w:t>651/2014</w:t>
                  </w:r>
                  <w:r w:rsidRPr="00C8046B">
                    <w:rPr>
                      <w:sz w:val="28"/>
                      <w:szCs w:val="28"/>
                      <w:lang w:eastAsia="en-US"/>
                    </w:rPr>
                    <w:t>;</w:t>
                  </w:r>
                </w:p>
                <w:p w:rsidR="00D521A4" w:rsidRPr="00483357" w:rsidRDefault="00C8046B" w:rsidP="00D521A4">
                  <w:pPr>
                    <w:pStyle w:val="naiskr"/>
                    <w:numPr>
                      <w:ilvl w:val="0"/>
                      <w:numId w:val="29"/>
                    </w:numPr>
                    <w:spacing w:before="0" w:beforeAutospacing="0" w:after="0" w:afterAutospacing="0"/>
                    <w:ind w:left="377"/>
                    <w:jc w:val="both"/>
                    <w:rPr>
                      <w:sz w:val="28"/>
                      <w:szCs w:val="28"/>
                      <w:lang w:eastAsia="en-US"/>
                    </w:rPr>
                  </w:pPr>
                  <w:r w:rsidRPr="00C8046B">
                    <w:rPr>
                      <w:sz w:val="28"/>
                      <w:szCs w:val="28"/>
                    </w:rPr>
                    <w:t>Komisijas regula Nr.794/2004;</w:t>
                  </w:r>
                </w:p>
                <w:p w:rsidR="00D521A4" w:rsidRPr="00483357" w:rsidRDefault="00954133" w:rsidP="00D521A4">
                  <w:pPr>
                    <w:pStyle w:val="naiskr"/>
                    <w:numPr>
                      <w:ilvl w:val="0"/>
                      <w:numId w:val="29"/>
                    </w:numPr>
                    <w:spacing w:before="0" w:beforeAutospacing="0" w:after="0" w:afterAutospacing="0"/>
                    <w:ind w:left="377"/>
                    <w:jc w:val="both"/>
                    <w:rPr>
                      <w:sz w:val="28"/>
                      <w:szCs w:val="28"/>
                      <w:lang w:eastAsia="en-US"/>
                    </w:rPr>
                  </w:pPr>
                  <w:r w:rsidRPr="00483357">
                    <w:rPr>
                      <w:sz w:val="28"/>
                      <w:szCs w:val="28"/>
                      <w:lang w:eastAsia="en-US"/>
                    </w:rPr>
                    <w:t>Komisijas regula Nr.480/2014</w:t>
                  </w:r>
                  <w:r w:rsidR="00C8046B" w:rsidRPr="00C8046B">
                    <w:rPr>
                      <w:sz w:val="28"/>
                      <w:szCs w:val="28"/>
                      <w:lang w:eastAsia="en-US"/>
                    </w:rPr>
                    <w:t>.</w:t>
                  </w:r>
                </w:p>
              </w:tc>
            </w:tr>
            <w:tr w:rsidR="0053285B"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vAlign w:val="center"/>
                  <w:hideMark/>
                </w:tcPr>
                <w:p w:rsidR="0053285B" w:rsidRPr="00483357" w:rsidRDefault="0053285B" w:rsidP="00956ABE">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A</w:t>
                  </w:r>
                </w:p>
              </w:tc>
              <w:tc>
                <w:tcPr>
                  <w:tcW w:w="1240" w:type="pct"/>
                  <w:tcBorders>
                    <w:top w:val="outset" w:sz="6" w:space="0" w:color="auto"/>
                    <w:left w:val="outset" w:sz="6" w:space="0" w:color="auto"/>
                    <w:bottom w:val="outset" w:sz="6" w:space="0" w:color="auto"/>
                    <w:right w:val="outset" w:sz="6" w:space="0" w:color="auto"/>
                  </w:tcBorders>
                  <w:vAlign w:val="center"/>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B</w:t>
                  </w:r>
                </w:p>
              </w:tc>
              <w:tc>
                <w:tcPr>
                  <w:tcW w:w="861" w:type="pct"/>
                  <w:tcBorders>
                    <w:top w:val="outset" w:sz="6" w:space="0" w:color="auto"/>
                    <w:left w:val="outset" w:sz="6" w:space="0" w:color="auto"/>
                    <w:bottom w:val="outset" w:sz="6" w:space="0" w:color="auto"/>
                    <w:right w:val="outset" w:sz="6" w:space="0" w:color="auto"/>
                  </w:tcBorders>
                  <w:vAlign w:val="center"/>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C</w:t>
                  </w:r>
                </w:p>
              </w:tc>
              <w:tc>
                <w:tcPr>
                  <w:tcW w:w="1491" w:type="pct"/>
                  <w:tcBorders>
                    <w:top w:val="outset" w:sz="6" w:space="0" w:color="auto"/>
                    <w:left w:val="outset" w:sz="6" w:space="0" w:color="auto"/>
                    <w:bottom w:val="outset" w:sz="6" w:space="0" w:color="auto"/>
                    <w:right w:val="outset" w:sz="6" w:space="0" w:color="auto"/>
                  </w:tcBorders>
                  <w:vAlign w:val="center"/>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D</w:t>
                  </w:r>
                </w:p>
              </w:tc>
            </w:tr>
            <w:tr w:rsidR="0053285B"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53285B" w:rsidRPr="00483357" w:rsidRDefault="0053285B" w:rsidP="00956ABE">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 xml:space="preserve">Attiecīgā ES tiesību akta panta numurs (uzskaitot katru tiesību akta vienību – pantu, </w:t>
                  </w:r>
                </w:p>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daļu, punktu, apakšpunktu)</w:t>
                  </w:r>
                </w:p>
              </w:tc>
              <w:tc>
                <w:tcPr>
                  <w:tcW w:w="1240"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Projekta vienība, kas pārņem vai ievieš katru šīs tabulas A ailē minēto ES tiesību akta vienību, vai tiesību akts, kur attiecīgā ES tiesību akta vienība pārņemta vai ieviesta</w:t>
                  </w:r>
                </w:p>
              </w:tc>
              <w:tc>
                <w:tcPr>
                  <w:tcW w:w="861"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Informācija par to, vai šīs tabulas A ailē minētās ES tiesību akta vienības tiek pārņemtas vai ieviestas pilnībā vai daļēji.</w:t>
                  </w:r>
                  <w:r w:rsidRPr="00C8046B">
                    <w:rPr>
                      <w:rFonts w:ascii="Times New Roman" w:eastAsia="Times New Roman" w:hAnsi="Times New Roman" w:cs="Times New Roman"/>
                      <w:iCs/>
                      <w:sz w:val="28"/>
                      <w:szCs w:val="28"/>
                      <w:lang w:eastAsia="lv-LV"/>
                    </w:rPr>
                    <w:br/>
                    <w:t xml:space="preserve">Ja attiecīgā ES tiesību akta vienība tiek pārņemta vai ieviesta daļēji, sniedz attiecīgu skaidrojumu, kā arī precīzi norāda, kad un kādā veidā ES tiesību akta vienība tiks pārņemta vai ieviesta </w:t>
                  </w:r>
                  <w:r w:rsidRPr="00C8046B">
                    <w:rPr>
                      <w:rFonts w:ascii="Times New Roman" w:eastAsia="Times New Roman" w:hAnsi="Times New Roman" w:cs="Times New Roman"/>
                      <w:iCs/>
                      <w:sz w:val="28"/>
                      <w:szCs w:val="28"/>
                      <w:lang w:eastAsia="lv-LV"/>
                    </w:rPr>
                    <w:lastRenderedPageBreak/>
                    <w:t>pilnībā.</w:t>
                  </w:r>
                  <w:r w:rsidRPr="00C8046B">
                    <w:rPr>
                      <w:rFonts w:ascii="Times New Roman" w:eastAsia="Times New Roman" w:hAnsi="Times New Roman" w:cs="Times New Roman"/>
                      <w:iCs/>
                      <w:sz w:val="28"/>
                      <w:szCs w:val="28"/>
                      <w:lang w:eastAsia="lv-LV"/>
                    </w:rPr>
                    <w:br/>
                    <w:t>Norāda institūciju, kas ir atbildīga par šo saistību izpildi pilnībā</w:t>
                  </w:r>
                </w:p>
              </w:tc>
              <w:tc>
                <w:tcPr>
                  <w:tcW w:w="1491"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lastRenderedPageBreak/>
                    <w:t>Informācija par to, vai šīs tabulas B ailē minētās projekta vienības paredz stingrākas prasības nekā šīs tabulas A ailē minētās ES tiesību akta vienības.</w:t>
                  </w:r>
                  <w:r w:rsidRPr="00C8046B">
                    <w:rPr>
                      <w:rFonts w:ascii="Times New Roman" w:eastAsia="Times New Roman" w:hAnsi="Times New Roman" w:cs="Times New Roman"/>
                      <w:iCs/>
                      <w:sz w:val="28"/>
                      <w:szCs w:val="28"/>
                      <w:lang w:eastAsia="lv-LV"/>
                    </w:rPr>
                    <w:br/>
                    <w:t>Ja projekts satur stingrākas prasības nekā attiecīgais ES tiesību akts, norāda pamatojumu un samērīgumu.</w:t>
                  </w:r>
                  <w:r w:rsidRPr="00C8046B">
                    <w:rPr>
                      <w:rFonts w:ascii="Times New Roman" w:eastAsia="Times New Roman" w:hAnsi="Times New Roman" w:cs="Times New Roman"/>
                      <w:iCs/>
                      <w:sz w:val="28"/>
                      <w:szCs w:val="28"/>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E6356F"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3E0C22" w:rsidRPr="00483357" w:rsidRDefault="00E6356F"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lastRenderedPageBreak/>
                    <w:t xml:space="preserve">Komisijas regulas </w:t>
                  </w:r>
                </w:p>
                <w:p w:rsidR="00E6356F"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Nr.480/2014 1.pielikums</w:t>
                  </w:r>
                </w:p>
              </w:tc>
              <w:tc>
                <w:tcPr>
                  <w:tcW w:w="1240" w:type="pct"/>
                  <w:tcBorders>
                    <w:top w:val="outset" w:sz="6" w:space="0" w:color="auto"/>
                    <w:left w:val="outset" w:sz="6" w:space="0" w:color="auto"/>
                    <w:bottom w:val="outset" w:sz="6" w:space="0" w:color="auto"/>
                    <w:right w:val="outset" w:sz="6" w:space="0" w:color="auto"/>
                  </w:tcBorders>
                  <w:hideMark/>
                </w:tcPr>
                <w:p w:rsidR="00E6356F"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50.punkts</w:t>
                  </w:r>
                </w:p>
              </w:tc>
              <w:tc>
                <w:tcPr>
                  <w:tcW w:w="861"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D521A4" w:rsidRPr="00483357" w:rsidRDefault="00C8046B" w:rsidP="00D521A4">
                  <w:pPr>
                    <w:spacing w:after="0" w:line="240" w:lineRule="auto"/>
                    <w:rPr>
                      <w:rFonts w:ascii="Times New Roman" w:eastAsia="Times New Roman" w:hAnsi="Times New Roman" w:cs="Times New Roman"/>
                      <w:sz w:val="28"/>
                      <w:szCs w:val="28"/>
                      <w:lang w:eastAsia="lv-LV"/>
                    </w:rPr>
                  </w:pPr>
                  <w:r w:rsidRPr="00C8046B">
                    <w:rPr>
                      <w:rFonts w:ascii="Times New Roman" w:hAnsi="Times New Roman" w:cs="Times New Roman"/>
                      <w:bCs/>
                      <w:sz w:val="28"/>
                      <w:szCs w:val="28"/>
                    </w:rPr>
                    <w:t>Neparedz stingrākas prasības</w:t>
                  </w:r>
                </w:p>
              </w:tc>
            </w:tr>
            <w:tr w:rsidR="003E0C22"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3E0C22" w:rsidRPr="00483357" w:rsidRDefault="003E0C22"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 regulas Nr.</w:t>
                  </w:r>
                  <w:hyperlink r:id="rId10" w:tgtFrame="_blank" w:history="1">
                    <w:r w:rsidR="00C8046B" w:rsidRPr="00C8046B">
                      <w:rPr>
                        <w:rFonts w:ascii="Times New Roman" w:hAnsi="Times New Roman" w:cs="Times New Roman"/>
                        <w:bCs/>
                        <w:sz w:val="28"/>
                        <w:szCs w:val="28"/>
                      </w:rPr>
                      <w:t>651/2014</w:t>
                    </w:r>
                  </w:hyperlink>
                  <w:r w:rsidRPr="00483357">
                    <w:rPr>
                      <w:rFonts w:ascii="Times New Roman" w:hAnsi="Times New Roman" w:cs="Times New Roman"/>
                      <w:bCs/>
                      <w:sz w:val="28"/>
                      <w:szCs w:val="28"/>
                    </w:rPr>
                    <w:t xml:space="preserve"> 53.pants</w:t>
                  </w:r>
                </w:p>
                <w:p w:rsidR="003E0C22"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Vispārēja atsauce</w:t>
                  </w:r>
                </w:p>
              </w:tc>
              <w:tc>
                <w:tcPr>
                  <w:tcW w:w="1240" w:type="pct"/>
                  <w:tcBorders>
                    <w:top w:val="outset" w:sz="6" w:space="0" w:color="auto"/>
                    <w:left w:val="outset" w:sz="6" w:space="0" w:color="auto"/>
                    <w:bottom w:val="outset" w:sz="6" w:space="0" w:color="auto"/>
                    <w:right w:val="outset" w:sz="6" w:space="0" w:color="auto"/>
                  </w:tcBorders>
                  <w:hideMark/>
                </w:tcPr>
                <w:p w:rsidR="003E0C22" w:rsidRPr="00483357" w:rsidRDefault="00C8046B" w:rsidP="006841F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23., 28., 43. un 44.punkts</w:t>
                  </w:r>
                </w:p>
              </w:tc>
              <w:tc>
                <w:tcPr>
                  <w:tcW w:w="861" w:type="pct"/>
                  <w:tcBorders>
                    <w:top w:val="outset" w:sz="6" w:space="0" w:color="auto"/>
                    <w:left w:val="outset" w:sz="6" w:space="0" w:color="auto"/>
                    <w:bottom w:val="outset" w:sz="6" w:space="0" w:color="auto"/>
                    <w:right w:val="outset" w:sz="6" w:space="0" w:color="auto"/>
                  </w:tcBorders>
                  <w:hideMark/>
                </w:tcPr>
                <w:p w:rsidR="003E0C22"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3E0C22" w:rsidRPr="00483357" w:rsidRDefault="00C8046B" w:rsidP="00D521A4">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C80449">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 xml:space="preserve">Komisijas </w:t>
                  </w:r>
                  <w:r w:rsidR="00C8046B" w:rsidRPr="00C8046B">
                    <w:rPr>
                      <w:rFonts w:ascii="Times New Roman" w:hAnsi="Times New Roman" w:cs="Times New Roman"/>
                      <w:bCs/>
                      <w:sz w:val="28"/>
                      <w:szCs w:val="28"/>
                    </w:rPr>
                    <w:t>regula Nr.651/2014 Vispārēja atsauce</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C80449">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 xml:space="preserve">Noteikumu projekta 52.punkts </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C80449">
                  <w:pPr>
                    <w:spacing w:after="0" w:line="240" w:lineRule="auto"/>
                    <w:rPr>
                      <w:rFonts w:ascii="Times New Roman" w:eastAsia="Times New Roman" w:hAnsi="Times New Roman" w:cs="Times New Roman"/>
                      <w:iCs/>
                      <w:sz w:val="28"/>
                      <w:szCs w:val="28"/>
                      <w:lang w:eastAsia="lv-LV"/>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C80449">
                  <w:pPr>
                    <w:spacing w:after="0" w:line="240" w:lineRule="auto"/>
                    <w:rPr>
                      <w:rFonts w:ascii="Times New Roman" w:eastAsia="Times New Roman" w:hAnsi="Times New Roman" w:cs="Times New Roman"/>
                      <w:iCs/>
                      <w:sz w:val="28"/>
                      <w:szCs w:val="28"/>
                      <w:lang w:eastAsia="lv-LV"/>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 regulas Nr.</w:t>
                  </w:r>
                  <w:hyperlink r:id="rId11" w:tgtFrame="_blank" w:history="1">
                    <w:r w:rsidR="00C8046B" w:rsidRPr="00C8046B">
                      <w:rPr>
                        <w:rFonts w:ascii="Times New Roman" w:hAnsi="Times New Roman" w:cs="Times New Roman"/>
                        <w:bCs/>
                        <w:sz w:val="28"/>
                        <w:szCs w:val="28"/>
                      </w:rPr>
                      <w:t>651/2014</w:t>
                    </w:r>
                  </w:hyperlink>
                  <w:r w:rsidRPr="00483357">
                    <w:rPr>
                      <w:rFonts w:ascii="Times New Roman" w:hAnsi="Times New Roman" w:cs="Times New Roman"/>
                      <w:bCs/>
                      <w:sz w:val="28"/>
                      <w:szCs w:val="28"/>
                    </w:rPr>
                    <w:t> 2.panta 18. punkts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19.1.apakšpunkts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hAnsi="Times New Roman" w:cs="Times New Roman"/>
                      <w:sz w:val="28"/>
                      <w:szCs w:val="28"/>
                    </w:rPr>
                  </w:pPr>
                  <w:r w:rsidRPr="00C8046B">
                    <w:rPr>
                      <w:rFonts w:ascii="Times New Roman" w:hAnsi="Times New Roman" w:cs="Times New Roman"/>
                      <w:bCs/>
                      <w:sz w:val="28"/>
                      <w:szCs w:val="28"/>
                    </w:rPr>
                    <w:t>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 regulas Nr.</w:t>
                  </w:r>
                  <w:hyperlink r:id="rId12" w:tgtFrame="_blank" w:history="1">
                    <w:r w:rsidR="00C8046B" w:rsidRPr="00C8046B">
                      <w:rPr>
                        <w:rFonts w:ascii="Times New Roman" w:hAnsi="Times New Roman" w:cs="Times New Roman"/>
                        <w:bCs/>
                        <w:sz w:val="28"/>
                        <w:szCs w:val="28"/>
                      </w:rPr>
                      <w:t>651/2014</w:t>
                    </w:r>
                  </w:hyperlink>
                  <w:r w:rsidRPr="00483357">
                    <w:rPr>
                      <w:rFonts w:ascii="Times New Roman" w:hAnsi="Times New Roman" w:cs="Times New Roman"/>
                      <w:bCs/>
                      <w:sz w:val="28"/>
                      <w:szCs w:val="28"/>
                    </w:rPr>
                    <w:t> 2.panta 29.punkts un 2.panta 30.punkts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39.punkts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hAnsi="Times New Roman" w:cs="Times New Roman"/>
                      <w:sz w:val="28"/>
                      <w:szCs w:val="28"/>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 regulas Nr.</w:t>
                  </w:r>
                  <w:hyperlink r:id="rId13" w:tgtFrame="_blank" w:history="1">
                    <w:r w:rsidR="00C8046B" w:rsidRPr="00C8046B">
                      <w:rPr>
                        <w:rFonts w:ascii="Times New Roman" w:hAnsi="Times New Roman" w:cs="Times New Roman"/>
                        <w:bCs/>
                        <w:sz w:val="28"/>
                        <w:szCs w:val="28"/>
                      </w:rPr>
                      <w:t>651/2014</w:t>
                    </w:r>
                  </w:hyperlink>
                  <w:r w:rsidRPr="00483357">
                    <w:rPr>
                      <w:rFonts w:ascii="Times New Roman" w:hAnsi="Times New Roman" w:cs="Times New Roman"/>
                      <w:bCs/>
                      <w:sz w:val="28"/>
                      <w:szCs w:val="28"/>
                    </w:rPr>
                    <w:t xml:space="preserve"> 9.panta 1.punkta „c” un 4.punkts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48.punkts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hAnsi="Times New Roman" w:cs="Times New Roman"/>
                      <w:sz w:val="28"/>
                      <w:szCs w:val="28"/>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 regulas Nr.</w:t>
                  </w:r>
                  <w:hyperlink r:id="rId14" w:tgtFrame="_blank" w:history="1">
                    <w:r w:rsidR="00C8046B" w:rsidRPr="00C8046B">
                      <w:rPr>
                        <w:rFonts w:ascii="Times New Roman" w:hAnsi="Times New Roman" w:cs="Times New Roman"/>
                        <w:bCs/>
                        <w:sz w:val="28"/>
                        <w:szCs w:val="28"/>
                      </w:rPr>
                      <w:t>651/2014</w:t>
                    </w:r>
                  </w:hyperlink>
                  <w:r w:rsidRPr="00483357">
                    <w:rPr>
                      <w:rFonts w:ascii="Times New Roman" w:hAnsi="Times New Roman" w:cs="Times New Roman"/>
                      <w:bCs/>
                      <w:sz w:val="28"/>
                      <w:szCs w:val="28"/>
                    </w:rPr>
                    <w:t xml:space="preserve"> 12.panta 1.punkts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49.punkts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hAnsi="Times New Roman" w:cs="Times New Roman"/>
                      <w:sz w:val="28"/>
                      <w:szCs w:val="28"/>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 regulas Nr.</w:t>
                  </w:r>
                  <w:hyperlink r:id="rId15" w:tgtFrame="_blank" w:history="1">
                    <w:r w:rsidR="00C8046B" w:rsidRPr="00C8046B">
                      <w:rPr>
                        <w:rFonts w:ascii="Times New Roman" w:hAnsi="Times New Roman" w:cs="Times New Roman"/>
                        <w:bCs/>
                        <w:sz w:val="28"/>
                        <w:szCs w:val="28"/>
                      </w:rPr>
                      <w:t>651/2014</w:t>
                    </w:r>
                  </w:hyperlink>
                  <w:r w:rsidRPr="00483357">
                    <w:rPr>
                      <w:rFonts w:ascii="Times New Roman" w:hAnsi="Times New Roman" w:cs="Times New Roman"/>
                      <w:bCs/>
                      <w:sz w:val="28"/>
                      <w:szCs w:val="28"/>
                    </w:rPr>
                    <w:t xml:space="preserve"> 53.panta 6.punkts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3D0A75">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11.punkts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hAnsi="Times New Roman" w:cs="Times New Roman"/>
                      <w:sz w:val="28"/>
                      <w:szCs w:val="28"/>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 xml:space="preserve">Komisijas regulas Nr.651/2014 53.panta 2.punkta „a” un „b” apakšpunkts </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45.1. un 45.3.apakšpunkts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eastAsia="Times New Roman" w:hAnsi="Times New Roman" w:cs="Times New Roman"/>
                      <w:sz w:val="28"/>
                      <w:szCs w:val="28"/>
                      <w:lang w:eastAsia="lv-LV"/>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lastRenderedPageBreak/>
                    <w:t xml:space="preserve">Komisijas regulas Nr.651/2014 1.panta 2.punkta „c” un „d” apakšpunkts </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6841F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 xml:space="preserve">Noteikumu projekta 45.1.apakšpunkts </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eastAsia="Times New Roman" w:hAnsi="Times New Roman" w:cs="Times New Roman"/>
                      <w:sz w:val="28"/>
                      <w:szCs w:val="28"/>
                      <w:lang w:eastAsia="lv-LV"/>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w:t>
                  </w:r>
                  <w:r w:rsidR="00C8046B" w:rsidRPr="00C8046B">
                    <w:rPr>
                      <w:rFonts w:ascii="Times New Roman" w:hAnsi="Times New Roman" w:cs="Times New Roman"/>
                      <w:bCs/>
                      <w:sz w:val="28"/>
                      <w:szCs w:val="28"/>
                    </w:rPr>
                    <w:t xml:space="preserve"> regulas Nr.651/2014 1.panta 3.punkts, 1.panta 4.punkta „a” apakšpunkts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6841F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 xml:space="preserve">Noteikumu projekta 45.1.apakšpunkts </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eastAsia="Times New Roman" w:hAnsi="Times New Roman" w:cs="Times New Roman"/>
                      <w:sz w:val="28"/>
                      <w:szCs w:val="28"/>
                      <w:lang w:eastAsia="lv-LV"/>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 regulas Nr. 651/2014 4. panta 1. punkta „z” apakšpunkts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45.2.apakšpunkts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eastAsia="Times New Roman" w:hAnsi="Times New Roman" w:cs="Times New Roman"/>
                      <w:sz w:val="28"/>
                      <w:szCs w:val="28"/>
                      <w:lang w:eastAsia="lv-LV"/>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 regulas Nr.651/2014 1.panta 5.punkts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45.3.2.apakšpunkts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rsidP="00D521A4">
                  <w:pPr>
                    <w:spacing w:after="0" w:line="240" w:lineRule="auto"/>
                    <w:rPr>
                      <w:rFonts w:ascii="Times New Roman" w:eastAsia="Times New Roman" w:hAnsi="Times New Roman" w:cs="Times New Roman"/>
                      <w:sz w:val="28"/>
                      <w:szCs w:val="28"/>
                      <w:lang w:eastAsia="lv-LV"/>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Komisijas regulas Nr.651/2014 53.panta 10.punkts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45.3.1.apakšpunkts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 xml:space="preserve">Komisijas regulas Nr.651/2014 53.panta 4.punkta „a” apakšpunkts </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45.3.3.apakšpunkts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 xml:space="preserve">Komisijas regulas Nr.651/2014 </w:t>
                  </w:r>
                  <w:r w:rsidR="00C8046B" w:rsidRPr="00C8046B">
                    <w:rPr>
                      <w:rFonts w:ascii="Times New Roman" w:hAnsi="Times New Roman" w:cs="Times New Roman"/>
                      <w:bCs/>
                      <w:sz w:val="28"/>
                      <w:szCs w:val="28"/>
                    </w:rPr>
                    <w:t>58.panta 4.punkts un 59.pants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47.punkts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shd w:val="clear" w:color="auto" w:fill="auto"/>
                  <w:hideMark/>
                </w:tcPr>
                <w:p w:rsidR="006841FE" w:rsidRPr="00483357" w:rsidRDefault="006841FE" w:rsidP="00956ABE">
                  <w:pPr>
                    <w:spacing w:after="0" w:line="240" w:lineRule="auto"/>
                    <w:rPr>
                      <w:rFonts w:ascii="Times New Roman" w:hAnsi="Times New Roman" w:cs="Times New Roman"/>
                      <w:bCs/>
                      <w:sz w:val="28"/>
                      <w:szCs w:val="28"/>
                    </w:rPr>
                  </w:pPr>
                  <w:r w:rsidRPr="00483357">
                    <w:rPr>
                      <w:rFonts w:ascii="Times New Roman" w:hAnsi="Times New Roman" w:cs="Times New Roman"/>
                      <w:bCs/>
                      <w:sz w:val="28"/>
                      <w:szCs w:val="28"/>
                    </w:rPr>
                    <w:t>Regulas Nr.1303/2013 XII pielikuma 2.2.sadaļa</w:t>
                  </w:r>
                </w:p>
              </w:tc>
              <w:tc>
                <w:tcPr>
                  <w:tcW w:w="1240" w:type="pct"/>
                  <w:tcBorders>
                    <w:top w:val="outset" w:sz="6" w:space="0" w:color="auto"/>
                    <w:left w:val="outset" w:sz="6" w:space="0" w:color="auto"/>
                    <w:bottom w:val="outset" w:sz="6" w:space="0" w:color="auto"/>
                    <w:right w:val="outset" w:sz="6" w:space="0" w:color="auto"/>
                  </w:tcBorders>
                  <w:shd w:val="clear" w:color="auto" w:fill="auto"/>
                  <w:hideMark/>
                </w:tcPr>
                <w:p w:rsidR="006841FE" w:rsidRPr="00483357" w:rsidRDefault="00C8046B" w:rsidP="00956ABE">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24.1.apakšpunkts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Neparedz stingrākas prasības</w:t>
                  </w:r>
                </w:p>
              </w:tc>
            </w:tr>
            <w:tr w:rsidR="006841FE" w:rsidRPr="00483357" w:rsidTr="00C80449">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hAnsi="Times New Roman" w:cs="Times New Roman"/>
                      <w:bCs/>
                      <w:sz w:val="28"/>
                      <w:szCs w:val="28"/>
                    </w:rPr>
                  </w:pPr>
                  <w:bookmarkStart w:id="1" w:name="_Hlk26434051"/>
                  <w:r w:rsidRPr="00483357">
                    <w:rPr>
                      <w:rFonts w:ascii="Times New Roman" w:hAnsi="Times New Roman" w:cs="Times New Roman"/>
                      <w:bCs/>
                      <w:sz w:val="28"/>
                      <w:szCs w:val="28"/>
                    </w:rPr>
                    <w:t xml:space="preserve">Komisijas </w:t>
                  </w:r>
                  <w:r w:rsidR="00C8046B" w:rsidRPr="00C8046B">
                    <w:rPr>
                      <w:rFonts w:ascii="Times New Roman" w:hAnsi="Times New Roman" w:cs="Times New Roman"/>
                      <w:bCs/>
                      <w:sz w:val="28"/>
                      <w:szCs w:val="28"/>
                    </w:rPr>
                    <w:t>regulas Nr.794/2004 10. un 11.pants</w:t>
                  </w:r>
                </w:p>
              </w:tc>
              <w:tc>
                <w:tcPr>
                  <w:tcW w:w="1240"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hAnsi="Times New Roman" w:cs="Times New Roman"/>
                      <w:bCs/>
                      <w:sz w:val="28"/>
                      <w:szCs w:val="28"/>
                    </w:rPr>
                  </w:pPr>
                  <w:r w:rsidRPr="00C8046B">
                    <w:rPr>
                      <w:rFonts w:ascii="Times New Roman" w:hAnsi="Times New Roman" w:cs="Times New Roman"/>
                      <w:bCs/>
                      <w:sz w:val="28"/>
                      <w:szCs w:val="28"/>
                    </w:rPr>
                    <w:t>Noteikumu projekta 52.punkts</w:t>
                  </w:r>
                </w:p>
              </w:tc>
              <w:tc>
                <w:tcPr>
                  <w:tcW w:w="86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hAnsi="Times New Roman" w:cs="Times New Roman"/>
                      <w:bCs/>
                      <w:sz w:val="28"/>
                      <w:szCs w:val="28"/>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hAnsi="Times New Roman" w:cs="Times New Roman"/>
                      <w:bCs/>
                      <w:sz w:val="28"/>
                      <w:szCs w:val="28"/>
                    </w:rPr>
                    <w:t>Neparedz stingrākas prasības</w:t>
                  </w:r>
                </w:p>
              </w:tc>
            </w:tr>
            <w:bookmarkEnd w:id="1"/>
            <w:tr w:rsidR="006841FE" w:rsidRPr="00483357" w:rsidTr="003D0A75">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 xml:space="preserve">Kā ir izmantota ES tiesību aktā paredzētā rīcības brīvība dalībvalstij pārņemt vai ieviest noteiktas ES tiesību akta normas? </w:t>
                  </w:r>
                  <w:r w:rsidRPr="00483357">
                    <w:rPr>
                      <w:rFonts w:ascii="Times New Roman" w:eastAsia="Times New Roman" w:hAnsi="Times New Roman" w:cs="Times New Roman"/>
                      <w:iCs/>
                      <w:sz w:val="28"/>
                      <w:szCs w:val="28"/>
                      <w:lang w:eastAsia="lv-LV"/>
                    </w:rPr>
                    <w:lastRenderedPageBreak/>
                    <w:t>Kādēļ?</w:t>
                  </w:r>
                </w:p>
              </w:tc>
              <w:tc>
                <w:tcPr>
                  <w:tcW w:w="3625" w:type="pct"/>
                  <w:gridSpan w:val="3"/>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hAnsi="Times New Roman" w:cs="Times New Roman"/>
                      <w:bCs/>
                      <w:sz w:val="28"/>
                      <w:szCs w:val="28"/>
                    </w:rPr>
                    <w:lastRenderedPageBreak/>
                    <w:t>Noteikumu projekts</w:t>
                  </w:r>
                  <w:r w:rsidRPr="00C8046B">
                    <w:rPr>
                      <w:rFonts w:ascii="Times New Roman" w:eastAsia="Times New Roman" w:hAnsi="Times New Roman" w:cs="Times New Roman"/>
                      <w:iCs/>
                      <w:sz w:val="28"/>
                      <w:szCs w:val="28"/>
                      <w:lang w:eastAsia="lv-LV"/>
                    </w:rPr>
                    <w:t xml:space="preserve"> šo jomu neskar.</w:t>
                  </w:r>
                </w:p>
              </w:tc>
            </w:tr>
            <w:tr w:rsidR="006841FE" w:rsidRPr="00483357" w:rsidTr="003D0A75">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625" w:type="pct"/>
                  <w:gridSpan w:val="3"/>
                  <w:tcBorders>
                    <w:top w:val="outset" w:sz="6" w:space="0" w:color="auto"/>
                    <w:left w:val="outset" w:sz="6" w:space="0" w:color="auto"/>
                    <w:bottom w:val="outset" w:sz="6" w:space="0" w:color="auto"/>
                    <w:right w:val="outset" w:sz="6" w:space="0" w:color="auto"/>
                  </w:tcBorders>
                  <w:hideMark/>
                </w:tcPr>
                <w:p w:rsidR="006841FE" w:rsidRPr="00483357" w:rsidRDefault="00C8046B" w:rsidP="00956ABE">
                  <w:pPr>
                    <w:spacing w:after="0" w:line="240" w:lineRule="auto"/>
                    <w:jc w:val="both"/>
                    <w:rPr>
                      <w:rFonts w:ascii="Times New Roman" w:eastAsia="Times New Roman" w:hAnsi="Times New Roman" w:cs="Times New Roman"/>
                      <w:iCs/>
                      <w:sz w:val="28"/>
                      <w:szCs w:val="28"/>
                      <w:lang w:eastAsia="lv-LV"/>
                    </w:rPr>
                  </w:pPr>
                  <w:r w:rsidRPr="00C8046B">
                    <w:rPr>
                      <w:rFonts w:ascii="Times New Roman" w:hAnsi="Times New Roman" w:cs="Times New Roman"/>
                      <w:bCs/>
                      <w:sz w:val="28"/>
                      <w:szCs w:val="28"/>
                    </w:rPr>
                    <w:t>Atbildīgā iestāde atbilstoši Komisijas regulas Nr.651/2014 11.panta a) apakšpunktā noteiktajam 20 darba dienu laikā pēc noteikumu projekta spēkā stāšanās nosūtīt Eiropas Komisijai kopsavilkuma informāciju par valsts atbalsta programmu. Paziņojums Eiropas Komisijai nosūtāms, izmantojot SANI 2 sistēmu atbilstoši kārtībai, kas noteikta Ministru kabineta 2014.gada 16.decembra noteikumos Nr.759 „Kārtība, kādā Eiropas Komisijā iesniedz atbalsta programmu un individuālo atbalsta projektu paziņojumus un kopsavilkuma informāciju, un kārtība, kādā piešķir un anulē elektroniskās sistēmas lietošanas tiesības”.</w:t>
                  </w:r>
                </w:p>
              </w:tc>
            </w:tr>
            <w:tr w:rsidR="006841FE" w:rsidRPr="00483357" w:rsidTr="003D0A75">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Cita informācija</w:t>
                  </w:r>
                </w:p>
              </w:tc>
              <w:tc>
                <w:tcPr>
                  <w:tcW w:w="3625" w:type="pct"/>
                  <w:gridSpan w:val="3"/>
                  <w:tcBorders>
                    <w:top w:val="outset" w:sz="6" w:space="0" w:color="auto"/>
                    <w:left w:val="outset" w:sz="6" w:space="0" w:color="auto"/>
                    <w:bottom w:val="outset" w:sz="6" w:space="0" w:color="auto"/>
                    <w:right w:val="outset" w:sz="6" w:space="0" w:color="auto"/>
                  </w:tcBorders>
                  <w:hideMark/>
                </w:tcPr>
                <w:p w:rsidR="006841FE"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Nav</w:t>
                  </w:r>
                </w:p>
              </w:tc>
            </w:tr>
            <w:tr w:rsidR="006841FE" w:rsidRPr="00483357" w:rsidTr="00956ABE">
              <w:trPr>
                <w:trHeight w:val="1282"/>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841FE" w:rsidRPr="00483357" w:rsidRDefault="006841FE" w:rsidP="00956ABE">
                  <w:pPr>
                    <w:spacing w:after="0" w:line="240" w:lineRule="auto"/>
                    <w:jc w:val="center"/>
                    <w:rPr>
                      <w:rFonts w:ascii="Times New Roman" w:eastAsia="Times New Roman" w:hAnsi="Times New Roman" w:cs="Times New Roman"/>
                      <w:b/>
                      <w:bCs/>
                      <w:iCs/>
                      <w:color w:val="414142"/>
                      <w:sz w:val="28"/>
                      <w:szCs w:val="28"/>
                      <w:lang w:eastAsia="lv-LV"/>
                    </w:rPr>
                  </w:pPr>
                  <w:r w:rsidRPr="00483357">
                    <w:rPr>
                      <w:rFonts w:ascii="Times New Roman" w:eastAsia="Times New Roman" w:hAnsi="Times New Roman" w:cs="Times New Roman"/>
                      <w:b/>
                      <w:bCs/>
                      <w:iCs/>
                      <w:sz w:val="28"/>
                      <w:szCs w:val="28"/>
                      <w:lang w:eastAsia="lv-LV"/>
                    </w:rPr>
                    <w:t>2.tabula</w:t>
                  </w:r>
                  <w:r w:rsidR="00C8046B" w:rsidRPr="00C8046B">
                    <w:rPr>
                      <w:rFonts w:ascii="Times New Roman" w:eastAsia="Times New Roman" w:hAnsi="Times New Roman" w:cs="Times New Roman"/>
                      <w:b/>
                      <w:bCs/>
                      <w:iCs/>
                      <w:color w:val="414142"/>
                      <w:sz w:val="28"/>
                      <w:szCs w:val="28"/>
                      <w:lang w:eastAsia="lv-LV"/>
                    </w:rPr>
                    <w:br/>
                  </w:r>
                  <w:r w:rsidRPr="00483357">
                    <w:rPr>
                      <w:rFonts w:ascii="Times New Roman" w:eastAsia="Times New Roman" w:hAnsi="Times New Roman" w:cs="Times New Roman"/>
                      <w:b/>
                      <w:bCs/>
                      <w:iCs/>
                      <w:sz w:val="28"/>
                      <w:szCs w:val="28"/>
                      <w:lang w:eastAsia="lv-LV"/>
                    </w:rPr>
                    <w:t xml:space="preserve">Ar tiesību akta projektu izpildītās vai uzņemtās saistības, kas izriet no starptautiskajiem tiesību aktiem </w:t>
                  </w:r>
                  <w:r w:rsidR="00C8046B" w:rsidRPr="00C8046B">
                    <w:rPr>
                      <w:rFonts w:ascii="Times New Roman" w:eastAsia="Times New Roman" w:hAnsi="Times New Roman" w:cs="Times New Roman"/>
                      <w:b/>
                      <w:bCs/>
                      <w:iCs/>
                      <w:sz w:val="28"/>
                      <w:szCs w:val="28"/>
                      <w:lang w:eastAsia="lv-LV"/>
                    </w:rPr>
                    <w:t>vai starptautiskas institūcijas vai organizācijas dokumentiem.</w:t>
                  </w:r>
                  <w:r w:rsidR="00C8046B" w:rsidRPr="00C8046B">
                    <w:rPr>
                      <w:rFonts w:ascii="Times New Roman" w:eastAsia="Times New Roman" w:hAnsi="Times New Roman" w:cs="Times New Roman"/>
                      <w:b/>
                      <w:bCs/>
                      <w:iCs/>
                      <w:sz w:val="28"/>
                      <w:szCs w:val="28"/>
                      <w:lang w:eastAsia="lv-LV"/>
                    </w:rPr>
                    <w:br/>
                    <w:t>Pasākumi šo saistību izpildei</w:t>
                  </w:r>
                </w:p>
              </w:tc>
            </w:tr>
            <w:tr w:rsidR="006841FE" w:rsidRPr="00483357" w:rsidTr="00F61925">
              <w:trPr>
                <w:tblCellSpacing w:w="15" w:type="dxa"/>
              </w:trPr>
              <w:tc>
                <w:tcPr>
                  <w:tcW w:w="4967" w:type="pct"/>
                  <w:gridSpan w:val="4"/>
                  <w:tcBorders>
                    <w:top w:val="outset" w:sz="6" w:space="0" w:color="auto"/>
                    <w:left w:val="outset" w:sz="6" w:space="0" w:color="auto"/>
                    <w:bottom w:val="outset" w:sz="6" w:space="0" w:color="auto"/>
                    <w:right w:val="outset" w:sz="6" w:space="0" w:color="auto"/>
                  </w:tcBorders>
                  <w:hideMark/>
                </w:tcPr>
                <w:p w:rsidR="006841FE" w:rsidRPr="00483357" w:rsidRDefault="006841FE"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Noteikumu p</w:t>
                  </w:r>
                  <w:r w:rsidR="00C8046B" w:rsidRPr="00C8046B">
                    <w:rPr>
                      <w:rFonts w:ascii="Times New Roman" w:eastAsia="Times New Roman" w:hAnsi="Times New Roman" w:cs="Times New Roman"/>
                      <w:iCs/>
                      <w:sz w:val="28"/>
                      <w:szCs w:val="28"/>
                      <w:lang w:eastAsia="lv-LV"/>
                    </w:rPr>
                    <w:t>rojekts šo jomu neskar.</w:t>
                  </w:r>
                </w:p>
              </w:tc>
            </w:tr>
          </w:tbl>
          <w:p w:rsidR="0053285B" w:rsidRPr="00483357" w:rsidRDefault="0053285B" w:rsidP="00956ABE">
            <w:pPr>
              <w:spacing w:after="0" w:line="240" w:lineRule="auto"/>
              <w:rPr>
                <w:rFonts w:ascii="Times New Roman" w:hAnsi="Times New Roman" w:cs="Times New Roman"/>
                <w:sz w:val="28"/>
                <w:szCs w:val="28"/>
              </w:rPr>
            </w:pPr>
          </w:p>
        </w:tc>
      </w:tr>
      <w:bookmarkEnd w:id="0"/>
    </w:tbl>
    <w:p w:rsidR="00225AF3" w:rsidRPr="00483357" w:rsidRDefault="00225AF3" w:rsidP="00956ABE">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8"/>
        <w:gridCol w:w="3104"/>
        <w:gridCol w:w="5529"/>
      </w:tblGrid>
      <w:tr w:rsidR="00E5323B" w:rsidRPr="0048335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521A4" w:rsidRPr="00483357" w:rsidRDefault="00C8046B">
            <w:pPr>
              <w:spacing w:after="0" w:line="240" w:lineRule="auto"/>
              <w:jc w:val="center"/>
              <w:rPr>
                <w:rFonts w:ascii="Times New Roman" w:eastAsia="Times New Roman" w:hAnsi="Times New Roman" w:cs="Times New Roman"/>
                <w:b/>
                <w:bCs/>
                <w:iCs/>
                <w:sz w:val="28"/>
                <w:szCs w:val="28"/>
                <w:lang w:eastAsia="lv-LV"/>
              </w:rPr>
            </w:pPr>
            <w:r w:rsidRPr="00C8046B">
              <w:rPr>
                <w:rFonts w:ascii="Times New Roman" w:eastAsia="Times New Roman" w:hAnsi="Times New Roman" w:cs="Times New Roman"/>
                <w:b/>
                <w:bCs/>
                <w:iCs/>
                <w:sz w:val="28"/>
                <w:szCs w:val="28"/>
                <w:lang w:eastAsia="lv-LV"/>
              </w:rPr>
              <w:t>VI. Sabiedrības līdzdalība un komunikācijas aktivitātes</w:t>
            </w:r>
          </w:p>
        </w:tc>
      </w:tr>
      <w:tr w:rsidR="00530A60" w:rsidRPr="00483357" w:rsidTr="00530A60">
        <w:trPr>
          <w:trHeight w:val="20"/>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530A60" w:rsidRPr="00483357" w:rsidRDefault="00530A60" w:rsidP="00C80449">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w:t>
            </w:r>
          </w:p>
        </w:tc>
        <w:tc>
          <w:tcPr>
            <w:tcW w:w="1667" w:type="pct"/>
            <w:tcBorders>
              <w:top w:val="outset" w:sz="6" w:space="0" w:color="auto"/>
              <w:left w:val="outset" w:sz="6" w:space="0" w:color="auto"/>
              <w:bottom w:val="outset" w:sz="6" w:space="0" w:color="auto"/>
              <w:right w:val="outset" w:sz="6" w:space="0" w:color="auto"/>
            </w:tcBorders>
            <w:hideMark/>
          </w:tcPr>
          <w:p w:rsidR="00530A60" w:rsidRPr="00483357" w:rsidRDefault="00C8046B" w:rsidP="00C80449">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Plānotās sabiedrības līdzdalības un komunikācijas aktivitātes saistībā ar projektu</w:t>
            </w:r>
          </w:p>
        </w:tc>
        <w:tc>
          <w:tcPr>
            <w:tcW w:w="2974" w:type="pct"/>
            <w:tcBorders>
              <w:top w:val="outset" w:sz="6" w:space="0" w:color="auto"/>
              <w:left w:val="outset" w:sz="6" w:space="0" w:color="auto"/>
              <w:bottom w:val="outset" w:sz="6" w:space="0" w:color="auto"/>
              <w:right w:val="outset" w:sz="6" w:space="0" w:color="auto"/>
            </w:tcBorders>
            <w:hideMark/>
          </w:tcPr>
          <w:p w:rsidR="00530A60" w:rsidRPr="00483357" w:rsidRDefault="00C8046B" w:rsidP="001778DB">
            <w:pPr>
              <w:pStyle w:val="Pamatteksts"/>
              <w:jc w:val="both"/>
              <w:rPr>
                <w:b w:val="0"/>
                <w:iCs/>
                <w:szCs w:val="28"/>
                <w:lang w:eastAsia="lv-LV"/>
              </w:rPr>
            </w:pPr>
            <w:r w:rsidRPr="00C8046B">
              <w:rPr>
                <w:b w:val="0"/>
                <w:iCs/>
                <w:szCs w:val="28"/>
                <w:lang w:eastAsia="lv-LV"/>
              </w:rPr>
              <w:t>Projekta iesniegumu vērtēšanas kritēriji tiks apstiprināti Eiropas Savienības struktūrfondu un Kohēzijas fonda 2014. – 2020.gada plānošanas perioda Vides aizsardzības un resursu izmantošanas efektivitātes prioritārā virziena apakškomitejas sēdē, kuras sastāvā ir iekļauti arī sociālie, nevalstiskā sektora un reģionālie partneri.</w:t>
            </w:r>
          </w:p>
        </w:tc>
      </w:tr>
      <w:tr w:rsidR="00530A60" w:rsidRPr="00483357" w:rsidTr="00530A60">
        <w:trPr>
          <w:trHeight w:val="20"/>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530A60" w:rsidRPr="00483357" w:rsidRDefault="00530A60" w:rsidP="00C80449">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2.</w:t>
            </w:r>
          </w:p>
        </w:tc>
        <w:tc>
          <w:tcPr>
            <w:tcW w:w="1667" w:type="pct"/>
            <w:tcBorders>
              <w:top w:val="outset" w:sz="6" w:space="0" w:color="auto"/>
              <w:left w:val="outset" w:sz="6" w:space="0" w:color="auto"/>
              <w:bottom w:val="outset" w:sz="6" w:space="0" w:color="auto"/>
              <w:right w:val="outset" w:sz="6" w:space="0" w:color="auto"/>
            </w:tcBorders>
            <w:hideMark/>
          </w:tcPr>
          <w:p w:rsidR="00530A60" w:rsidRPr="00483357" w:rsidRDefault="00C8046B" w:rsidP="00C80449">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Sabiedrības līdzdalība projekta izstrādē</w:t>
            </w:r>
          </w:p>
        </w:tc>
        <w:tc>
          <w:tcPr>
            <w:tcW w:w="2974" w:type="pct"/>
            <w:tcBorders>
              <w:top w:val="outset" w:sz="6" w:space="0" w:color="auto"/>
              <w:left w:val="outset" w:sz="6" w:space="0" w:color="auto"/>
              <w:bottom w:val="outset" w:sz="6" w:space="0" w:color="auto"/>
              <w:right w:val="outset" w:sz="6" w:space="0" w:color="auto"/>
            </w:tcBorders>
            <w:hideMark/>
          </w:tcPr>
          <w:p w:rsidR="00530A60" w:rsidRPr="00483357" w:rsidRDefault="00C8046B" w:rsidP="001778D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Ņemot vērā to, ka viens no būtiskākajiem atlases kritērijiem ir atbilstība pašvaldības attīstības programmās izvirzītajiem mērķiem, uzskatāms, ka 5.5.1.SAM ieviešanā tiek ņemti vērā ne tikai nacionāla līmeņa plānošanas dokumenti, bet arī pašvaldību izvirzītās investīciju prioritātes.</w:t>
            </w:r>
          </w:p>
        </w:tc>
      </w:tr>
      <w:tr w:rsidR="00530A60" w:rsidRPr="00483357" w:rsidTr="00530A60">
        <w:trPr>
          <w:trHeight w:val="20"/>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530A60" w:rsidRPr="00483357" w:rsidRDefault="00530A60" w:rsidP="00C80449">
            <w:pPr>
              <w:spacing w:after="0" w:line="240" w:lineRule="auto"/>
              <w:jc w:val="center"/>
              <w:rPr>
                <w:rFonts w:ascii="Times New Roman" w:eastAsia="Times New Roman" w:hAnsi="Times New Roman" w:cs="Times New Roman"/>
                <w:iCs/>
                <w:sz w:val="28"/>
                <w:szCs w:val="28"/>
                <w:lang w:eastAsia="lv-LV"/>
              </w:rPr>
            </w:pPr>
          </w:p>
          <w:p w:rsidR="00530A60" w:rsidRPr="00483357" w:rsidRDefault="00C8046B" w:rsidP="00C80449">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3.</w:t>
            </w:r>
          </w:p>
        </w:tc>
        <w:tc>
          <w:tcPr>
            <w:tcW w:w="1667" w:type="pct"/>
            <w:tcBorders>
              <w:top w:val="outset" w:sz="6" w:space="0" w:color="auto"/>
              <w:left w:val="outset" w:sz="6" w:space="0" w:color="auto"/>
              <w:bottom w:val="outset" w:sz="6" w:space="0" w:color="auto"/>
              <w:right w:val="outset" w:sz="6" w:space="0" w:color="auto"/>
            </w:tcBorders>
            <w:hideMark/>
          </w:tcPr>
          <w:p w:rsidR="00530A60" w:rsidRPr="00483357" w:rsidRDefault="00C8046B" w:rsidP="00C80449">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Sabiedrības līdzdalības rezultāti</w:t>
            </w:r>
          </w:p>
        </w:tc>
        <w:tc>
          <w:tcPr>
            <w:tcW w:w="2974" w:type="pct"/>
            <w:tcBorders>
              <w:top w:val="outset" w:sz="6" w:space="0" w:color="auto"/>
              <w:left w:val="outset" w:sz="6" w:space="0" w:color="auto"/>
              <w:bottom w:val="outset" w:sz="6" w:space="0" w:color="auto"/>
              <w:right w:val="outset" w:sz="6" w:space="0" w:color="auto"/>
            </w:tcBorders>
            <w:hideMark/>
          </w:tcPr>
          <w:p w:rsidR="00C8046B" w:rsidRDefault="00C8046B" w:rsidP="00C8046B">
            <w:pPr>
              <w:shd w:val="clear" w:color="auto" w:fill="FFFFFF"/>
              <w:spacing w:after="0" w:line="240" w:lineRule="auto"/>
              <w:ind w:right="113"/>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Izstrādāts Noteikumu projekts un projektu iesniegumu vērtēšanas kritēriju projekts, kas 2020.gada 30.janvārī tika izskatīts Eiropas Savienības struktūrfondu un Kohēzijas fonda 2014. – 2020.gada plānošanas perioda Vides aizsardzības un resursu izmantošanas efektivitātes prioritārā virziena apakškomitejas sēdē.</w:t>
            </w:r>
          </w:p>
        </w:tc>
      </w:tr>
      <w:tr w:rsidR="00530A60" w:rsidRPr="00483357" w:rsidTr="00530A60">
        <w:trPr>
          <w:trHeight w:val="20"/>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530A60" w:rsidRPr="00483357" w:rsidRDefault="00C8046B" w:rsidP="00C80449">
            <w:pPr>
              <w:spacing w:after="0" w:line="240" w:lineRule="auto"/>
              <w:jc w:val="center"/>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4.</w:t>
            </w:r>
          </w:p>
        </w:tc>
        <w:tc>
          <w:tcPr>
            <w:tcW w:w="1667" w:type="pct"/>
            <w:tcBorders>
              <w:top w:val="outset" w:sz="6" w:space="0" w:color="auto"/>
              <w:left w:val="outset" w:sz="6" w:space="0" w:color="auto"/>
              <w:bottom w:val="outset" w:sz="6" w:space="0" w:color="auto"/>
              <w:right w:val="outset" w:sz="6" w:space="0" w:color="auto"/>
            </w:tcBorders>
            <w:hideMark/>
          </w:tcPr>
          <w:p w:rsidR="00530A60" w:rsidRPr="00483357" w:rsidRDefault="00C8046B" w:rsidP="00C80449">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Cita informācija</w:t>
            </w:r>
          </w:p>
        </w:tc>
        <w:tc>
          <w:tcPr>
            <w:tcW w:w="2974" w:type="pct"/>
            <w:tcBorders>
              <w:top w:val="outset" w:sz="6" w:space="0" w:color="auto"/>
              <w:left w:val="outset" w:sz="6" w:space="0" w:color="auto"/>
              <w:bottom w:val="outset" w:sz="6" w:space="0" w:color="auto"/>
              <w:right w:val="outset" w:sz="6" w:space="0" w:color="auto"/>
            </w:tcBorders>
            <w:hideMark/>
          </w:tcPr>
          <w:p w:rsidR="00530A60" w:rsidRPr="00483357" w:rsidRDefault="00C8046B" w:rsidP="001778D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Nav</w:t>
            </w:r>
          </w:p>
        </w:tc>
      </w:tr>
    </w:tbl>
    <w:p w:rsidR="00E4390C" w:rsidRPr="00483357" w:rsidRDefault="00E5323B" w:rsidP="00956ABE">
      <w:pPr>
        <w:spacing w:after="0" w:line="240" w:lineRule="auto"/>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91"/>
        <w:gridCol w:w="3124"/>
        <w:gridCol w:w="5506"/>
      </w:tblGrid>
      <w:tr w:rsidR="00E5323B" w:rsidRPr="0048335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D521A4" w:rsidRPr="00483357" w:rsidRDefault="00C8046B">
            <w:pPr>
              <w:spacing w:after="0" w:line="240" w:lineRule="auto"/>
              <w:jc w:val="center"/>
              <w:rPr>
                <w:rFonts w:ascii="Times New Roman" w:eastAsia="Times New Roman" w:hAnsi="Times New Roman" w:cs="Times New Roman"/>
                <w:b/>
                <w:bCs/>
                <w:iCs/>
                <w:sz w:val="28"/>
                <w:szCs w:val="28"/>
                <w:lang w:eastAsia="lv-LV"/>
              </w:rPr>
            </w:pPr>
            <w:r w:rsidRPr="00C8046B">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996F6E" w:rsidRPr="00483357" w:rsidTr="00956ABE">
        <w:trPr>
          <w:trHeight w:val="20"/>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96F6E" w:rsidRPr="00483357" w:rsidRDefault="00996F6E"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A6715A" w:rsidRPr="00483357" w:rsidRDefault="00C8046B" w:rsidP="00956ABE">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hideMark/>
          </w:tcPr>
          <w:p w:rsidR="00A6715A" w:rsidRPr="00483357" w:rsidRDefault="00C8046B" w:rsidP="00956ABE">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Kultūras ministrija, Centrālā finanšu un līgumu aģentūra.</w:t>
            </w:r>
          </w:p>
        </w:tc>
      </w:tr>
      <w:tr w:rsidR="00996F6E" w:rsidRPr="00483357" w:rsidTr="0099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96F6E" w:rsidRPr="00483357" w:rsidRDefault="00996F6E"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Projekta izpildes ietekme uz pārvaldes funkcijām un institucionālo struktūru.</w:t>
            </w:r>
            <w:r w:rsidRPr="00C8046B">
              <w:rPr>
                <w:rFonts w:ascii="Times New Roman" w:eastAsia="Times New Roman" w:hAnsi="Times New Roman" w:cs="Times New Roman"/>
                <w:iCs/>
                <w:sz w:val="28"/>
                <w:szCs w:val="28"/>
                <w:lang w:eastAsia="lv-LV"/>
              </w:rPr>
              <w:br/>
            </w:r>
          </w:p>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jc w:val="both"/>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Noteikumu projekts šo jomu neskar.</w:t>
            </w:r>
          </w:p>
        </w:tc>
      </w:tr>
      <w:tr w:rsidR="00E5323B" w:rsidRPr="00483357" w:rsidTr="00996F6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483357" w:rsidRDefault="00E5323B" w:rsidP="00956ABE">
            <w:pPr>
              <w:spacing w:after="0" w:line="240" w:lineRule="auto"/>
              <w:jc w:val="center"/>
              <w:rPr>
                <w:rFonts w:ascii="Times New Roman" w:eastAsia="Times New Roman" w:hAnsi="Times New Roman" w:cs="Times New Roman"/>
                <w:iCs/>
                <w:sz w:val="28"/>
                <w:szCs w:val="28"/>
                <w:lang w:eastAsia="lv-LV"/>
              </w:rPr>
            </w:pPr>
            <w:r w:rsidRPr="00483357">
              <w:rPr>
                <w:rFonts w:ascii="Times New Roman" w:eastAsia="Times New Roman" w:hAnsi="Times New Roman" w:cs="Times New Roman"/>
                <w:iCs/>
                <w:sz w:val="28"/>
                <w:szCs w:val="28"/>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D521A4" w:rsidRPr="00483357" w:rsidRDefault="00C8046B">
            <w:pPr>
              <w:spacing w:after="0" w:line="240" w:lineRule="auto"/>
              <w:rPr>
                <w:rFonts w:ascii="Times New Roman" w:eastAsia="Times New Roman" w:hAnsi="Times New Roman" w:cs="Times New Roman"/>
                <w:iCs/>
                <w:sz w:val="28"/>
                <w:szCs w:val="28"/>
                <w:lang w:eastAsia="lv-LV"/>
              </w:rPr>
            </w:pPr>
            <w:r w:rsidRPr="00C8046B">
              <w:rPr>
                <w:rFonts w:ascii="Times New Roman" w:eastAsia="Times New Roman" w:hAnsi="Times New Roman" w:cs="Times New Roman"/>
                <w:iCs/>
                <w:sz w:val="28"/>
                <w:szCs w:val="28"/>
                <w:lang w:eastAsia="lv-LV"/>
              </w:rPr>
              <w:t>Nav</w:t>
            </w:r>
          </w:p>
        </w:tc>
      </w:tr>
    </w:tbl>
    <w:p w:rsidR="00E5323B" w:rsidRPr="00483357" w:rsidRDefault="00E5323B" w:rsidP="00956ABE">
      <w:pPr>
        <w:spacing w:after="0" w:line="240" w:lineRule="auto"/>
        <w:rPr>
          <w:rFonts w:ascii="Times New Roman" w:hAnsi="Times New Roman" w:cs="Times New Roman"/>
          <w:sz w:val="28"/>
          <w:szCs w:val="28"/>
        </w:rPr>
      </w:pPr>
    </w:p>
    <w:p w:rsidR="00A83CD1" w:rsidRPr="00483357" w:rsidRDefault="00A83CD1" w:rsidP="00956ABE">
      <w:pPr>
        <w:spacing w:after="0" w:line="240" w:lineRule="auto"/>
        <w:rPr>
          <w:rFonts w:ascii="Times New Roman" w:hAnsi="Times New Roman" w:cs="Times New Roman"/>
          <w:sz w:val="28"/>
          <w:szCs w:val="28"/>
        </w:rPr>
      </w:pPr>
    </w:p>
    <w:p w:rsidR="00D521A4" w:rsidRPr="00483357" w:rsidRDefault="00C8046B">
      <w:pPr>
        <w:spacing w:after="0" w:line="240" w:lineRule="auto"/>
        <w:ind w:left="142"/>
        <w:rPr>
          <w:rFonts w:ascii="Times New Roman" w:hAnsi="Times New Roman" w:cs="Times New Roman"/>
          <w:sz w:val="28"/>
          <w:szCs w:val="28"/>
        </w:rPr>
      </w:pPr>
      <w:r w:rsidRPr="00C8046B">
        <w:rPr>
          <w:rFonts w:ascii="Times New Roman" w:hAnsi="Times New Roman" w:cs="Times New Roman"/>
          <w:sz w:val="28"/>
          <w:szCs w:val="28"/>
        </w:rPr>
        <w:t xml:space="preserve">Kultūras ministrs </w:t>
      </w:r>
      <w:r w:rsidRPr="00C8046B">
        <w:rPr>
          <w:rFonts w:ascii="Times New Roman" w:hAnsi="Times New Roman" w:cs="Times New Roman"/>
          <w:sz w:val="28"/>
          <w:szCs w:val="28"/>
        </w:rPr>
        <w:tab/>
      </w:r>
      <w:r w:rsidRPr="00C8046B">
        <w:rPr>
          <w:rFonts w:ascii="Times New Roman" w:hAnsi="Times New Roman" w:cs="Times New Roman"/>
          <w:sz w:val="28"/>
          <w:szCs w:val="28"/>
        </w:rPr>
        <w:tab/>
      </w:r>
      <w:r w:rsidRPr="00C8046B">
        <w:rPr>
          <w:rFonts w:ascii="Times New Roman" w:hAnsi="Times New Roman" w:cs="Times New Roman"/>
          <w:sz w:val="28"/>
          <w:szCs w:val="28"/>
        </w:rPr>
        <w:tab/>
      </w:r>
      <w:r w:rsidRPr="00C8046B">
        <w:rPr>
          <w:rFonts w:ascii="Times New Roman" w:hAnsi="Times New Roman" w:cs="Times New Roman"/>
          <w:sz w:val="28"/>
          <w:szCs w:val="28"/>
        </w:rPr>
        <w:tab/>
      </w:r>
      <w:r w:rsidRPr="00C8046B">
        <w:rPr>
          <w:rFonts w:ascii="Times New Roman" w:hAnsi="Times New Roman" w:cs="Times New Roman"/>
          <w:sz w:val="28"/>
          <w:szCs w:val="28"/>
        </w:rPr>
        <w:tab/>
      </w:r>
      <w:r w:rsidRPr="00C8046B">
        <w:rPr>
          <w:rFonts w:ascii="Times New Roman" w:hAnsi="Times New Roman" w:cs="Times New Roman"/>
          <w:sz w:val="28"/>
          <w:szCs w:val="28"/>
        </w:rPr>
        <w:tab/>
      </w:r>
      <w:r w:rsidRPr="00C8046B">
        <w:rPr>
          <w:rFonts w:ascii="Times New Roman" w:hAnsi="Times New Roman" w:cs="Times New Roman"/>
          <w:sz w:val="28"/>
          <w:szCs w:val="28"/>
        </w:rPr>
        <w:tab/>
      </w:r>
      <w:r w:rsidRPr="00C8046B">
        <w:rPr>
          <w:rFonts w:ascii="Times New Roman" w:hAnsi="Times New Roman" w:cs="Times New Roman"/>
          <w:sz w:val="28"/>
          <w:szCs w:val="28"/>
        </w:rPr>
        <w:tab/>
        <w:t>N.Puntulis</w:t>
      </w:r>
    </w:p>
    <w:p w:rsidR="00D521A4" w:rsidRPr="00483357" w:rsidRDefault="00D521A4">
      <w:pPr>
        <w:spacing w:after="0" w:line="240" w:lineRule="auto"/>
        <w:ind w:left="142" w:firstLine="142"/>
        <w:rPr>
          <w:rFonts w:ascii="Times New Roman" w:hAnsi="Times New Roman" w:cs="Times New Roman"/>
          <w:sz w:val="28"/>
          <w:szCs w:val="28"/>
        </w:rPr>
      </w:pPr>
    </w:p>
    <w:p w:rsidR="00D521A4" w:rsidRPr="00483357" w:rsidRDefault="00C8046B">
      <w:pPr>
        <w:tabs>
          <w:tab w:val="left" w:pos="7230"/>
        </w:tabs>
        <w:spacing w:after="0" w:line="240" w:lineRule="auto"/>
        <w:ind w:left="142"/>
        <w:jc w:val="both"/>
        <w:rPr>
          <w:rFonts w:ascii="Times New Roman" w:hAnsi="Times New Roman" w:cs="Times New Roman"/>
          <w:sz w:val="28"/>
          <w:szCs w:val="28"/>
        </w:rPr>
      </w:pPr>
      <w:r w:rsidRPr="00C8046B">
        <w:rPr>
          <w:rFonts w:ascii="Times New Roman" w:hAnsi="Times New Roman" w:cs="Times New Roman"/>
          <w:sz w:val="28"/>
          <w:szCs w:val="28"/>
        </w:rPr>
        <w:t>Vīza: Valsts sekretāre</w:t>
      </w:r>
      <w:r w:rsidRPr="00C8046B">
        <w:rPr>
          <w:rFonts w:ascii="Times New Roman" w:hAnsi="Times New Roman" w:cs="Times New Roman"/>
          <w:sz w:val="28"/>
          <w:szCs w:val="28"/>
        </w:rPr>
        <w:tab/>
        <w:t>D.Vilsone</w:t>
      </w:r>
    </w:p>
    <w:p w:rsidR="00D521A4" w:rsidRPr="00483357" w:rsidRDefault="00D521A4">
      <w:pPr>
        <w:spacing w:after="0" w:line="240" w:lineRule="auto"/>
        <w:rPr>
          <w:rFonts w:ascii="Times New Roman" w:hAnsi="Times New Roman" w:cs="Times New Roman"/>
          <w:sz w:val="28"/>
          <w:szCs w:val="28"/>
        </w:rPr>
      </w:pPr>
    </w:p>
    <w:p w:rsidR="00D521A4" w:rsidRPr="00483357" w:rsidRDefault="00D521A4">
      <w:pPr>
        <w:spacing w:after="0" w:line="240" w:lineRule="auto"/>
        <w:rPr>
          <w:rFonts w:ascii="Times New Roman" w:hAnsi="Times New Roman" w:cs="Times New Roman"/>
          <w:sz w:val="24"/>
          <w:szCs w:val="24"/>
        </w:rPr>
      </w:pPr>
    </w:p>
    <w:p w:rsidR="00D521A4" w:rsidRPr="00483357" w:rsidRDefault="00D521A4">
      <w:pPr>
        <w:spacing w:after="0" w:line="240" w:lineRule="auto"/>
        <w:rPr>
          <w:rFonts w:ascii="Times New Roman" w:hAnsi="Times New Roman" w:cs="Times New Roman"/>
          <w:sz w:val="24"/>
          <w:szCs w:val="24"/>
        </w:rPr>
      </w:pPr>
    </w:p>
    <w:p w:rsidR="00D521A4" w:rsidRPr="00483357" w:rsidRDefault="00D521A4">
      <w:pPr>
        <w:spacing w:after="0" w:line="240" w:lineRule="auto"/>
        <w:rPr>
          <w:rFonts w:ascii="Times New Roman" w:hAnsi="Times New Roman" w:cs="Times New Roman"/>
          <w:sz w:val="24"/>
          <w:szCs w:val="24"/>
        </w:rPr>
      </w:pPr>
    </w:p>
    <w:p w:rsidR="00225AF3" w:rsidRPr="00483357" w:rsidRDefault="00225AF3">
      <w:pPr>
        <w:spacing w:after="0" w:line="240" w:lineRule="auto"/>
        <w:rPr>
          <w:rFonts w:ascii="Times New Roman" w:hAnsi="Times New Roman" w:cs="Times New Roman"/>
          <w:sz w:val="24"/>
          <w:szCs w:val="24"/>
        </w:rPr>
      </w:pPr>
    </w:p>
    <w:p w:rsidR="00225AF3" w:rsidRPr="00483357" w:rsidRDefault="00225AF3">
      <w:pPr>
        <w:spacing w:after="0" w:line="240" w:lineRule="auto"/>
        <w:rPr>
          <w:rFonts w:ascii="Times New Roman" w:hAnsi="Times New Roman" w:cs="Times New Roman"/>
          <w:sz w:val="24"/>
          <w:szCs w:val="24"/>
        </w:rPr>
      </w:pPr>
    </w:p>
    <w:p w:rsidR="00225AF3" w:rsidRPr="00483357" w:rsidRDefault="00225AF3">
      <w:pPr>
        <w:spacing w:after="0" w:line="240" w:lineRule="auto"/>
        <w:rPr>
          <w:rFonts w:ascii="Times New Roman" w:hAnsi="Times New Roman" w:cs="Times New Roman"/>
          <w:sz w:val="24"/>
          <w:szCs w:val="24"/>
        </w:rPr>
      </w:pPr>
    </w:p>
    <w:p w:rsidR="00225AF3" w:rsidRPr="00483357" w:rsidRDefault="00225AF3">
      <w:pPr>
        <w:spacing w:after="0" w:line="240" w:lineRule="auto"/>
        <w:rPr>
          <w:rFonts w:ascii="Times New Roman" w:hAnsi="Times New Roman" w:cs="Times New Roman"/>
          <w:sz w:val="24"/>
          <w:szCs w:val="24"/>
        </w:rPr>
      </w:pPr>
    </w:p>
    <w:p w:rsidR="00225AF3" w:rsidRPr="00483357" w:rsidRDefault="00225AF3">
      <w:pPr>
        <w:spacing w:after="0" w:line="240" w:lineRule="auto"/>
        <w:rPr>
          <w:rFonts w:ascii="Times New Roman" w:hAnsi="Times New Roman" w:cs="Times New Roman"/>
          <w:sz w:val="24"/>
          <w:szCs w:val="24"/>
        </w:rPr>
      </w:pPr>
    </w:p>
    <w:p w:rsidR="00225AF3" w:rsidRPr="00483357" w:rsidRDefault="00225AF3">
      <w:pPr>
        <w:spacing w:after="0" w:line="240" w:lineRule="auto"/>
        <w:rPr>
          <w:rFonts w:ascii="Times New Roman" w:hAnsi="Times New Roman" w:cs="Times New Roman"/>
          <w:sz w:val="24"/>
          <w:szCs w:val="24"/>
        </w:rPr>
      </w:pPr>
    </w:p>
    <w:p w:rsidR="00225AF3" w:rsidRPr="00483357" w:rsidRDefault="00225AF3">
      <w:pPr>
        <w:spacing w:after="0" w:line="240" w:lineRule="auto"/>
        <w:rPr>
          <w:rFonts w:ascii="Times New Roman" w:hAnsi="Times New Roman" w:cs="Times New Roman"/>
          <w:sz w:val="24"/>
          <w:szCs w:val="24"/>
        </w:rPr>
      </w:pPr>
    </w:p>
    <w:p w:rsidR="00225AF3" w:rsidRPr="00483357" w:rsidRDefault="00225AF3">
      <w:pPr>
        <w:spacing w:after="0" w:line="240" w:lineRule="auto"/>
        <w:rPr>
          <w:rFonts w:ascii="Times New Roman" w:hAnsi="Times New Roman" w:cs="Times New Roman"/>
          <w:sz w:val="24"/>
          <w:szCs w:val="24"/>
        </w:rPr>
      </w:pPr>
    </w:p>
    <w:p w:rsidR="00D521A4" w:rsidRPr="00483357" w:rsidRDefault="00D521A4">
      <w:pPr>
        <w:spacing w:after="0" w:line="240" w:lineRule="auto"/>
        <w:rPr>
          <w:rFonts w:ascii="Times New Roman" w:hAnsi="Times New Roman" w:cs="Times New Roman"/>
          <w:sz w:val="20"/>
          <w:szCs w:val="20"/>
        </w:rPr>
      </w:pPr>
    </w:p>
    <w:p w:rsidR="00D521A4" w:rsidRPr="00483357" w:rsidRDefault="00C778A1">
      <w:pPr>
        <w:spacing w:after="0" w:line="240" w:lineRule="auto"/>
        <w:rPr>
          <w:rFonts w:ascii="Times New Roman" w:hAnsi="Times New Roman" w:cs="Times New Roman"/>
          <w:sz w:val="20"/>
          <w:szCs w:val="20"/>
          <w:lang w:eastAsia="lv-LV"/>
        </w:rPr>
      </w:pPr>
      <w:r w:rsidRPr="00483357">
        <w:rPr>
          <w:rFonts w:ascii="Times New Roman" w:hAnsi="Times New Roman" w:cs="Times New Roman"/>
          <w:sz w:val="20"/>
          <w:szCs w:val="20"/>
          <w:lang w:eastAsia="lv-LV"/>
        </w:rPr>
        <w:t>Krūmiņa 67330319</w:t>
      </w:r>
    </w:p>
    <w:p w:rsidR="00D521A4" w:rsidRPr="00483357" w:rsidRDefault="00C8046B">
      <w:pPr>
        <w:spacing w:after="0" w:line="240" w:lineRule="auto"/>
        <w:rPr>
          <w:rFonts w:ascii="Times New Roman" w:hAnsi="Times New Roman" w:cs="Times New Roman"/>
          <w:sz w:val="20"/>
          <w:szCs w:val="20"/>
        </w:rPr>
      </w:pPr>
      <w:hyperlink r:id="rId16" w:history="1">
        <w:r>
          <w:rPr>
            <w:rStyle w:val="Hipersaite"/>
            <w:rFonts w:ascii="Times New Roman" w:hAnsi="Times New Roman" w:cs="Times New Roman"/>
            <w:sz w:val="20"/>
            <w:szCs w:val="20"/>
            <w:lang w:eastAsia="lv-LV"/>
          </w:rPr>
          <w:t>Linda.Krumina@km.gov.lv</w:t>
        </w:r>
      </w:hyperlink>
    </w:p>
    <w:sectPr w:rsidR="00D521A4" w:rsidRPr="00483357" w:rsidSect="00225AF3">
      <w:headerReference w:type="default" r:id="rId17"/>
      <w:footerReference w:type="default" r:id="rId18"/>
      <w:footerReference w:type="first" r:id="rId1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480" w:rsidRDefault="00127480" w:rsidP="00894C55">
      <w:pPr>
        <w:spacing w:after="0" w:line="240" w:lineRule="auto"/>
      </w:pPr>
      <w:r>
        <w:separator/>
      </w:r>
    </w:p>
  </w:endnote>
  <w:endnote w:type="continuationSeparator" w:id="0">
    <w:p w:rsidR="00127480" w:rsidRDefault="00127480" w:rsidP="00894C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0" w:rsidRPr="00894C55" w:rsidRDefault="00127480">
    <w:pPr>
      <w:pStyle w:val="Kjene"/>
      <w:rPr>
        <w:rFonts w:ascii="Times New Roman" w:hAnsi="Times New Roman" w:cs="Times New Roman"/>
        <w:sz w:val="20"/>
        <w:szCs w:val="20"/>
      </w:rPr>
    </w:pPr>
    <w:r>
      <w:rPr>
        <w:rFonts w:ascii="Times New Roman" w:hAnsi="Times New Roman" w:cs="Times New Roman"/>
        <w:sz w:val="20"/>
        <w:szCs w:val="20"/>
      </w:rPr>
      <w:t>KMAnot_120220_551SAM_IV_karta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80" w:rsidRPr="009A2654" w:rsidRDefault="00127480">
    <w:pPr>
      <w:pStyle w:val="Kjene"/>
      <w:rPr>
        <w:rFonts w:ascii="Times New Roman" w:hAnsi="Times New Roman" w:cs="Times New Roman"/>
        <w:sz w:val="20"/>
        <w:szCs w:val="20"/>
      </w:rPr>
    </w:pPr>
    <w:r>
      <w:rPr>
        <w:rFonts w:ascii="Times New Roman" w:hAnsi="Times New Roman" w:cs="Times New Roman"/>
        <w:sz w:val="20"/>
        <w:szCs w:val="20"/>
      </w:rPr>
      <w:t>KMAnot_120220_551SAM_IV_karta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480" w:rsidRDefault="00127480" w:rsidP="00894C55">
      <w:pPr>
        <w:spacing w:after="0" w:line="240" w:lineRule="auto"/>
      </w:pPr>
      <w:r>
        <w:separator/>
      </w:r>
    </w:p>
  </w:footnote>
  <w:footnote w:type="continuationSeparator" w:id="0">
    <w:p w:rsidR="00127480" w:rsidRDefault="00127480" w:rsidP="00894C55">
      <w:pPr>
        <w:spacing w:after="0" w:line="240" w:lineRule="auto"/>
      </w:pPr>
      <w:r>
        <w:continuationSeparator/>
      </w:r>
    </w:p>
  </w:footnote>
  <w:footnote w:id="1">
    <w:p w:rsidR="00127480" w:rsidRPr="009447C0" w:rsidRDefault="00127480" w:rsidP="00C25B95">
      <w:pPr>
        <w:pStyle w:val="Vresteksts"/>
        <w:rPr>
          <w:lang w:val="lv-LV"/>
        </w:rPr>
      </w:pPr>
      <w:r w:rsidRPr="009447C0">
        <w:rPr>
          <w:rStyle w:val="Vresatsauce"/>
          <w:lang w:val="lv-LV"/>
        </w:rPr>
        <w:footnoteRef/>
      </w:r>
      <w:r w:rsidRPr="009447C0">
        <w:rPr>
          <w:lang w:val="lv-LV"/>
        </w:rPr>
        <w:t xml:space="preserve"> Lielais projekts </w:t>
      </w:r>
      <w:r w:rsidRPr="009447C0">
        <w:rPr>
          <w:color w:val="000000"/>
          <w:lang w:val="lv-LV"/>
        </w:rPr>
        <w:t>„Paula Stradiņa klīniskās universitātes slimnīcas jaunās A2 ēkas attīstība”</w:t>
      </w:r>
    </w:p>
  </w:footnote>
  <w:footnote w:id="2">
    <w:p w:rsidR="00127480" w:rsidRPr="00F9788D" w:rsidRDefault="00127480">
      <w:pPr>
        <w:pStyle w:val="Vresteksts"/>
        <w:rPr>
          <w:lang w:val="lv-LV"/>
        </w:rPr>
      </w:pPr>
      <w:r>
        <w:rPr>
          <w:rStyle w:val="Vresatsauce"/>
        </w:rPr>
        <w:footnoteRef/>
      </w:r>
      <w:r>
        <w:t xml:space="preserve"> </w:t>
      </w:r>
      <w:r>
        <w:rPr>
          <w:lang w:val="lv-LV"/>
        </w:rPr>
        <w:t xml:space="preserve">Pieejams: </w:t>
      </w:r>
      <w:hyperlink r:id="rId1" w:history="1">
        <w:r w:rsidRPr="001C602E">
          <w:rPr>
            <w:rStyle w:val="Hipersaite"/>
            <w:lang w:val="lv-LV"/>
          </w:rPr>
          <w:t>https://eur-lex.europa.eu/legal-content/LV/TXT/?uri=uriserv:OJ.C_.2016.262.01.0001.01.LAV&amp;toc=OJ:C:2016:262:TOC</w:t>
        </w:r>
      </w:hyperlink>
      <w:r>
        <w:rPr>
          <w:lang w:val="lv-LV"/>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56943"/>
      <w:docPartObj>
        <w:docPartGallery w:val="Page Numbers (Top of Page)"/>
        <w:docPartUnique/>
      </w:docPartObj>
    </w:sdtPr>
    <w:sdtEndPr>
      <w:rPr>
        <w:rFonts w:ascii="Times New Roman" w:hAnsi="Times New Roman" w:cs="Times New Roman"/>
        <w:noProof/>
        <w:sz w:val="24"/>
        <w:szCs w:val="20"/>
      </w:rPr>
    </w:sdtEndPr>
    <w:sdtContent>
      <w:p w:rsidR="00127480" w:rsidRPr="00C25B49" w:rsidRDefault="00C8046B">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127480"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7D1379">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F53"/>
    <w:multiLevelType w:val="hybridMultilevel"/>
    <w:tmpl w:val="865C1D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7FB646D"/>
    <w:multiLevelType w:val="hybridMultilevel"/>
    <w:tmpl w:val="F420133C"/>
    <w:lvl w:ilvl="0" w:tplc="0426000F">
      <w:start w:val="1"/>
      <w:numFmt w:val="decimal"/>
      <w:lvlText w:val="%1."/>
      <w:lvlJc w:val="left"/>
      <w:pPr>
        <w:ind w:left="417" w:hanging="360"/>
      </w:p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2">
    <w:nsid w:val="113D7425"/>
    <w:multiLevelType w:val="hybridMultilevel"/>
    <w:tmpl w:val="FC5AC0E4"/>
    <w:lvl w:ilvl="0" w:tplc="0C2EA98C">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1E82C1A"/>
    <w:multiLevelType w:val="hybridMultilevel"/>
    <w:tmpl w:val="F7BA3C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2591D88"/>
    <w:multiLevelType w:val="hybridMultilevel"/>
    <w:tmpl w:val="D68EAB7A"/>
    <w:lvl w:ilvl="0" w:tplc="08E6B1DC">
      <w:start w:val="1"/>
      <w:numFmt w:val="decimal"/>
      <w:lvlText w:val="%1."/>
      <w:lvlJc w:val="left"/>
      <w:pPr>
        <w:ind w:left="720" w:hanging="360"/>
      </w:pPr>
      <w:rPr>
        <w:rFonts w:hint="default"/>
      </w:rPr>
    </w:lvl>
    <w:lvl w:ilvl="1" w:tplc="E1728C22" w:tentative="1">
      <w:start w:val="1"/>
      <w:numFmt w:val="lowerLetter"/>
      <w:lvlText w:val="%2."/>
      <w:lvlJc w:val="left"/>
      <w:pPr>
        <w:ind w:left="1440" w:hanging="360"/>
      </w:pPr>
    </w:lvl>
    <w:lvl w:ilvl="2" w:tplc="6256DAB0" w:tentative="1">
      <w:start w:val="1"/>
      <w:numFmt w:val="lowerRoman"/>
      <w:lvlText w:val="%3."/>
      <w:lvlJc w:val="right"/>
      <w:pPr>
        <w:ind w:left="2160" w:hanging="180"/>
      </w:pPr>
    </w:lvl>
    <w:lvl w:ilvl="3" w:tplc="22D0E86A" w:tentative="1">
      <w:start w:val="1"/>
      <w:numFmt w:val="decimal"/>
      <w:lvlText w:val="%4."/>
      <w:lvlJc w:val="left"/>
      <w:pPr>
        <w:ind w:left="2880" w:hanging="360"/>
      </w:pPr>
    </w:lvl>
    <w:lvl w:ilvl="4" w:tplc="D4F8C3A2" w:tentative="1">
      <w:start w:val="1"/>
      <w:numFmt w:val="lowerLetter"/>
      <w:lvlText w:val="%5."/>
      <w:lvlJc w:val="left"/>
      <w:pPr>
        <w:ind w:left="3600" w:hanging="360"/>
      </w:pPr>
    </w:lvl>
    <w:lvl w:ilvl="5" w:tplc="9670BEA4" w:tentative="1">
      <w:start w:val="1"/>
      <w:numFmt w:val="lowerRoman"/>
      <w:lvlText w:val="%6."/>
      <w:lvlJc w:val="right"/>
      <w:pPr>
        <w:ind w:left="4320" w:hanging="180"/>
      </w:pPr>
    </w:lvl>
    <w:lvl w:ilvl="6" w:tplc="1F2E9070" w:tentative="1">
      <w:start w:val="1"/>
      <w:numFmt w:val="decimal"/>
      <w:lvlText w:val="%7."/>
      <w:lvlJc w:val="left"/>
      <w:pPr>
        <w:ind w:left="5040" w:hanging="360"/>
      </w:pPr>
    </w:lvl>
    <w:lvl w:ilvl="7" w:tplc="7E6698F0" w:tentative="1">
      <w:start w:val="1"/>
      <w:numFmt w:val="lowerLetter"/>
      <w:lvlText w:val="%8."/>
      <w:lvlJc w:val="left"/>
      <w:pPr>
        <w:ind w:left="5760" w:hanging="360"/>
      </w:pPr>
    </w:lvl>
    <w:lvl w:ilvl="8" w:tplc="BC9055C4" w:tentative="1">
      <w:start w:val="1"/>
      <w:numFmt w:val="lowerRoman"/>
      <w:lvlText w:val="%9."/>
      <w:lvlJc w:val="right"/>
      <w:pPr>
        <w:ind w:left="6480" w:hanging="180"/>
      </w:pPr>
    </w:lvl>
  </w:abstractNum>
  <w:abstractNum w:abstractNumId="5">
    <w:nsid w:val="1A95770E"/>
    <w:multiLevelType w:val="hybridMultilevel"/>
    <w:tmpl w:val="DCBCA16C"/>
    <w:lvl w:ilvl="0" w:tplc="1DBABB6C">
      <w:start w:val="1"/>
      <w:numFmt w:val="bullet"/>
      <w:lvlText w:val=""/>
      <w:lvlJc w:val="left"/>
      <w:pPr>
        <w:ind w:left="1429" w:hanging="360"/>
      </w:pPr>
      <w:rPr>
        <w:rFonts w:ascii="Symbol" w:hAnsi="Symbol" w:hint="default"/>
        <w:b w:val="0"/>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nsid w:val="1AD93CB9"/>
    <w:multiLevelType w:val="multilevel"/>
    <w:tmpl w:val="DB5CE2B0"/>
    <w:lvl w:ilvl="0">
      <w:start w:val="1"/>
      <w:numFmt w:val="decimal"/>
      <w:lvlText w:val="%1."/>
      <w:lvlJc w:val="left"/>
      <w:pPr>
        <w:ind w:left="108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20EF2BBD"/>
    <w:multiLevelType w:val="multilevel"/>
    <w:tmpl w:val="51D829D4"/>
    <w:lvl w:ilvl="0">
      <w:start w:val="35"/>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41A296E"/>
    <w:multiLevelType w:val="hybridMultilevel"/>
    <w:tmpl w:val="0C3818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BE4F73"/>
    <w:multiLevelType w:val="hybridMultilevel"/>
    <w:tmpl w:val="BC049C9A"/>
    <w:lvl w:ilvl="0" w:tplc="44943CBC">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0">
    <w:nsid w:val="25B36D45"/>
    <w:multiLevelType w:val="multilevel"/>
    <w:tmpl w:val="9D52C4F4"/>
    <w:lvl w:ilvl="0">
      <w:start w:val="2"/>
      <w:numFmt w:val="decimal"/>
      <w:lvlText w:val="%1."/>
      <w:lvlJc w:val="left"/>
      <w:pPr>
        <w:ind w:left="450" w:hanging="45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11">
    <w:nsid w:val="268329D9"/>
    <w:multiLevelType w:val="hybridMultilevel"/>
    <w:tmpl w:val="2CF88780"/>
    <w:lvl w:ilvl="0" w:tplc="32F8A2D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810243D"/>
    <w:multiLevelType w:val="hybridMultilevel"/>
    <w:tmpl w:val="EE524094"/>
    <w:lvl w:ilvl="0" w:tplc="FF88B9F0">
      <w:start w:val="1"/>
      <w:numFmt w:val="decimal"/>
      <w:lvlText w:val="%1)"/>
      <w:lvlJc w:val="left"/>
      <w:pPr>
        <w:ind w:left="720" w:hanging="360"/>
      </w:pPr>
      <w:rPr>
        <w:rFonts w:ascii="Times New Roman" w:eastAsia="Times New Roman" w:hAnsi="Times New Roman" w:cs="Times New Roman"/>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A4421AF"/>
    <w:multiLevelType w:val="hybridMultilevel"/>
    <w:tmpl w:val="93B03064"/>
    <w:lvl w:ilvl="0" w:tplc="F50446E0">
      <w:numFmt w:val="bullet"/>
      <w:lvlText w:val="-"/>
      <w:lvlJc w:val="left"/>
      <w:pPr>
        <w:ind w:left="1002" w:hanging="360"/>
      </w:pPr>
      <w:rPr>
        <w:rFonts w:ascii="Times New Roman" w:eastAsiaTheme="minorHAnsi" w:hAnsi="Times New Roman" w:cs="Times New Roman" w:hint="default"/>
      </w:rPr>
    </w:lvl>
    <w:lvl w:ilvl="1" w:tplc="04260003" w:tentative="1">
      <w:start w:val="1"/>
      <w:numFmt w:val="bullet"/>
      <w:lvlText w:val="o"/>
      <w:lvlJc w:val="left"/>
      <w:pPr>
        <w:ind w:left="1722" w:hanging="360"/>
      </w:pPr>
      <w:rPr>
        <w:rFonts w:ascii="Courier New" w:hAnsi="Courier New" w:cs="Courier New" w:hint="default"/>
      </w:rPr>
    </w:lvl>
    <w:lvl w:ilvl="2" w:tplc="04260005" w:tentative="1">
      <w:start w:val="1"/>
      <w:numFmt w:val="bullet"/>
      <w:lvlText w:val=""/>
      <w:lvlJc w:val="left"/>
      <w:pPr>
        <w:ind w:left="2442" w:hanging="360"/>
      </w:pPr>
      <w:rPr>
        <w:rFonts w:ascii="Wingdings" w:hAnsi="Wingdings" w:hint="default"/>
      </w:rPr>
    </w:lvl>
    <w:lvl w:ilvl="3" w:tplc="04260001" w:tentative="1">
      <w:start w:val="1"/>
      <w:numFmt w:val="bullet"/>
      <w:lvlText w:val=""/>
      <w:lvlJc w:val="left"/>
      <w:pPr>
        <w:ind w:left="3162" w:hanging="360"/>
      </w:pPr>
      <w:rPr>
        <w:rFonts w:ascii="Symbol" w:hAnsi="Symbol" w:hint="default"/>
      </w:rPr>
    </w:lvl>
    <w:lvl w:ilvl="4" w:tplc="04260003" w:tentative="1">
      <w:start w:val="1"/>
      <w:numFmt w:val="bullet"/>
      <w:lvlText w:val="o"/>
      <w:lvlJc w:val="left"/>
      <w:pPr>
        <w:ind w:left="3882" w:hanging="360"/>
      </w:pPr>
      <w:rPr>
        <w:rFonts w:ascii="Courier New" w:hAnsi="Courier New" w:cs="Courier New" w:hint="default"/>
      </w:rPr>
    </w:lvl>
    <w:lvl w:ilvl="5" w:tplc="04260005" w:tentative="1">
      <w:start w:val="1"/>
      <w:numFmt w:val="bullet"/>
      <w:lvlText w:val=""/>
      <w:lvlJc w:val="left"/>
      <w:pPr>
        <w:ind w:left="4602" w:hanging="360"/>
      </w:pPr>
      <w:rPr>
        <w:rFonts w:ascii="Wingdings" w:hAnsi="Wingdings" w:hint="default"/>
      </w:rPr>
    </w:lvl>
    <w:lvl w:ilvl="6" w:tplc="04260001" w:tentative="1">
      <w:start w:val="1"/>
      <w:numFmt w:val="bullet"/>
      <w:lvlText w:val=""/>
      <w:lvlJc w:val="left"/>
      <w:pPr>
        <w:ind w:left="5322" w:hanging="360"/>
      </w:pPr>
      <w:rPr>
        <w:rFonts w:ascii="Symbol" w:hAnsi="Symbol" w:hint="default"/>
      </w:rPr>
    </w:lvl>
    <w:lvl w:ilvl="7" w:tplc="04260003" w:tentative="1">
      <w:start w:val="1"/>
      <w:numFmt w:val="bullet"/>
      <w:lvlText w:val="o"/>
      <w:lvlJc w:val="left"/>
      <w:pPr>
        <w:ind w:left="6042" w:hanging="360"/>
      </w:pPr>
      <w:rPr>
        <w:rFonts w:ascii="Courier New" w:hAnsi="Courier New" w:cs="Courier New" w:hint="default"/>
      </w:rPr>
    </w:lvl>
    <w:lvl w:ilvl="8" w:tplc="04260005" w:tentative="1">
      <w:start w:val="1"/>
      <w:numFmt w:val="bullet"/>
      <w:lvlText w:val=""/>
      <w:lvlJc w:val="left"/>
      <w:pPr>
        <w:ind w:left="6762" w:hanging="360"/>
      </w:pPr>
      <w:rPr>
        <w:rFonts w:ascii="Wingdings" w:hAnsi="Wingdings" w:hint="default"/>
      </w:rPr>
    </w:lvl>
  </w:abstractNum>
  <w:abstractNum w:abstractNumId="14">
    <w:nsid w:val="2B7722B1"/>
    <w:multiLevelType w:val="hybridMultilevel"/>
    <w:tmpl w:val="923C89B6"/>
    <w:lvl w:ilvl="0" w:tplc="AE64D974">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8D7AE6"/>
    <w:multiLevelType w:val="hybridMultilevel"/>
    <w:tmpl w:val="86B43DB8"/>
    <w:lvl w:ilvl="0" w:tplc="F8C8A1C8">
      <w:start w:val="1"/>
      <w:numFmt w:val="decimal"/>
      <w:lvlText w:val="%1)"/>
      <w:lvlJc w:val="left"/>
      <w:pPr>
        <w:ind w:left="438" w:hanging="360"/>
      </w:pPr>
      <w:rPr>
        <w:rFonts w:hint="default"/>
      </w:rPr>
    </w:lvl>
    <w:lvl w:ilvl="1" w:tplc="04260019" w:tentative="1">
      <w:start w:val="1"/>
      <w:numFmt w:val="lowerLetter"/>
      <w:lvlText w:val="%2."/>
      <w:lvlJc w:val="left"/>
      <w:pPr>
        <w:ind w:left="1158" w:hanging="360"/>
      </w:pPr>
    </w:lvl>
    <w:lvl w:ilvl="2" w:tplc="0426001B" w:tentative="1">
      <w:start w:val="1"/>
      <w:numFmt w:val="lowerRoman"/>
      <w:lvlText w:val="%3."/>
      <w:lvlJc w:val="right"/>
      <w:pPr>
        <w:ind w:left="1878" w:hanging="180"/>
      </w:pPr>
    </w:lvl>
    <w:lvl w:ilvl="3" w:tplc="0426000F" w:tentative="1">
      <w:start w:val="1"/>
      <w:numFmt w:val="decimal"/>
      <w:lvlText w:val="%4."/>
      <w:lvlJc w:val="left"/>
      <w:pPr>
        <w:ind w:left="2598" w:hanging="360"/>
      </w:pPr>
    </w:lvl>
    <w:lvl w:ilvl="4" w:tplc="04260019" w:tentative="1">
      <w:start w:val="1"/>
      <w:numFmt w:val="lowerLetter"/>
      <w:lvlText w:val="%5."/>
      <w:lvlJc w:val="left"/>
      <w:pPr>
        <w:ind w:left="3318" w:hanging="360"/>
      </w:pPr>
    </w:lvl>
    <w:lvl w:ilvl="5" w:tplc="0426001B" w:tentative="1">
      <w:start w:val="1"/>
      <w:numFmt w:val="lowerRoman"/>
      <w:lvlText w:val="%6."/>
      <w:lvlJc w:val="right"/>
      <w:pPr>
        <w:ind w:left="4038" w:hanging="180"/>
      </w:pPr>
    </w:lvl>
    <w:lvl w:ilvl="6" w:tplc="0426000F" w:tentative="1">
      <w:start w:val="1"/>
      <w:numFmt w:val="decimal"/>
      <w:lvlText w:val="%7."/>
      <w:lvlJc w:val="left"/>
      <w:pPr>
        <w:ind w:left="4758" w:hanging="360"/>
      </w:pPr>
    </w:lvl>
    <w:lvl w:ilvl="7" w:tplc="04260019" w:tentative="1">
      <w:start w:val="1"/>
      <w:numFmt w:val="lowerLetter"/>
      <w:lvlText w:val="%8."/>
      <w:lvlJc w:val="left"/>
      <w:pPr>
        <w:ind w:left="5478" w:hanging="360"/>
      </w:pPr>
    </w:lvl>
    <w:lvl w:ilvl="8" w:tplc="0426001B" w:tentative="1">
      <w:start w:val="1"/>
      <w:numFmt w:val="lowerRoman"/>
      <w:lvlText w:val="%9."/>
      <w:lvlJc w:val="right"/>
      <w:pPr>
        <w:ind w:left="6198" w:hanging="180"/>
      </w:pPr>
    </w:lvl>
  </w:abstractNum>
  <w:abstractNum w:abstractNumId="16">
    <w:nsid w:val="2C060EFB"/>
    <w:multiLevelType w:val="hybridMultilevel"/>
    <w:tmpl w:val="395A9A20"/>
    <w:lvl w:ilvl="0" w:tplc="44140260">
      <w:start w:val="1"/>
      <w:numFmt w:val="decimal"/>
      <w:lvlText w:val="%1)"/>
      <w:lvlJc w:val="left"/>
      <w:pPr>
        <w:ind w:left="1582" w:hanging="360"/>
      </w:pPr>
      <w:rPr>
        <w:rFonts w:hint="default"/>
      </w:rPr>
    </w:lvl>
    <w:lvl w:ilvl="1" w:tplc="33526298">
      <w:start w:val="1"/>
      <w:numFmt w:val="decimal"/>
      <w:lvlText w:val="%2)"/>
      <w:lvlJc w:val="left"/>
      <w:pPr>
        <w:ind w:left="1440" w:hanging="360"/>
      </w:pPr>
      <w:rPr>
        <w:rFonts w:hint="default"/>
        <w:sz w:val="28"/>
        <w:szCs w:val="28"/>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FA7571A"/>
    <w:multiLevelType w:val="hybridMultilevel"/>
    <w:tmpl w:val="9F04D0D8"/>
    <w:lvl w:ilvl="0" w:tplc="90C8C3CC">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nsid w:val="2FC2579D"/>
    <w:multiLevelType w:val="hybridMultilevel"/>
    <w:tmpl w:val="B99AD950"/>
    <w:lvl w:ilvl="0" w:tplc="544AFD9A">
      <w:start w:val="30"/>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nsid w:val="33FA4D61"/>
    <w:multiLevelType w:val="hybridMultilevel"/>
    <w:tmpl w:val="F612DC9C"/>
    <w:lvl w:ilvl="0" w:tplc="93C8F6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5A94D93"/>
    <w:multiLevelType w:val="hybridMultilevel"/>
    <w:tmpl w:val="A4FCF032"/>
    <w:lvl w:ilvl="0" w:tplc="0426000F">
      <w:start w:val="1"/>
      <w:numFmt w:val="decimal"/>
      <w:lvlText w:val="%1."/>
      <w:lvlJc w:val="left"/>
      <w:pPr>
        <w:ind w:left="798" w:hanging="360"/>
      </w:pPr>
    </w:lvl>
    <w:lvl w:ilvl="1" w:tplc="04260019" w:tentative="1">
      <w:start w:val="1"/>
      <w:numFmt w:val="lowerLetter"/>
      <w:lvlText w:val="%2."/>
      <w:lvlJc w:val="left"/>
      <w:pPr>
        <w:ind w:left="1518" w:hanging="360"/>
      </w:pPr>
    </w:lvl>
    <w:lvl w:ilvl="2" w:tplc="0426001B" w:tentative="1">
      <w:start w:val="1"/>
      <w:numFmt w:val="lowerRoman"/>
      <w:lvlText w:val="%3."/>
      <w:lvlJc w:val="right"/>
      <w:pPr>
        <w:ind w:left="2238" w:hanging="180"/>
      </w:pPr>
    </w:lvl>
    <w:lvl w:ilvl="3" w:tplc="0426000F" w:tentative="1">
      <w:start w:val="1"/>
      <w:numFmt w:val="decimal"/>
      <w:lvlText w:val="%4."/>
      <w:lvlJc w:val="left"/>
      <w:pPr>
        <w:ind w:left="2958" w:hanging="360"/>
      </w:pPr>
    </w:lvl>
    <w:lvl w:ilvl="4" w:tplc="04260019" w:tentative="1">
      <w:start w:val="1"/>
      <w:numFmt w:val="lowerLetter"/>
      <w:lvlText w:val="%5."/>
      <w:lvlJc w:val="left"/>
      <w:pPr>
        <w:ind w:left="3678" w:hanging="360"/>
      </w:pPr>
    </w:lvl>
    <w:lvl w:ilvl="5" w:tplc="0426001B" w:tentative="1">
      <w:start w:val="1"/>
      <w:numFmt w:val="lowerRoman"/>
      <w:lvlText w:val="%6."/>
      <w:lvlJc w:val="right"/>
      <w:pPr>
        <w:ind w:left="4398" w:hanging="180"/>
      </w:pPr>
    </w:lvl>
    <w:lvl w:ilvl="6" w:tplc="0426000F" w:tentative="1">
      <w:start w:val="1"/>
      <w:numFmt w:val="decimal"/>
      <w:lvlText w:val="%7."/>
      <w:lvlJc w:val="left"/>
      <w:pPr>
        <w:ind w:left="5118" w:hanging="360"/>
      </w:pPr>
    </w:lvl>
    <w:lvl w:ilvl="7" w:tplc="04260019" w:tentative="1">
      <w:start w:val="1"/>
      <w:numFmt w:val="lowerLetter"/>
      <w:lvlText w:val="%8."/>
      <w:lvlJc w:val="left"/>
      <w:pPr>
        <w:ind w:left="5838" w:hanging="360"/>
      </w:pPr>
    </w:lvl>
    <w:lvl w:ilvl="8" w:tplc="0426001B" w:tentative="1">
      <w:start w:val="1"/>
      <w:numFmt w:val="lowerRoman"/>
      <w:lvlText w:val="%9."/>
      <w:lvlJc w:val="right"/>
      <w:pPr>
        <w:ind w:left="6558" w:hanging="180"/>
      </w:pPr>
    </w:lvl>
  </w:abstractNum>
  <w:abstractNum w:abstractNumId="21">
    <w:nsid w:val="363B3B2C"/>
    <w:multiLevelType w:val="hybridMultilevel"/>
    <w:tmpl w:val="12AA4CBA"/>
    <w:lvl w:ilvl="0" w:tplc="ADA6579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B4E5D47"/>
    <w:multiLevelType w:val="hybridMultilevel"/>
    <w:tmpl w:val="26EEF052"/>
    <w:lvl w:ilvl="0" w:tplc="ACF0FE92">
      <w:start w:val="1"/>
      <w:numFmt w:val="decimal"/>
      <w:lvlText w:val="%1."/>
      <w:lvlJc w:val="left"/>
      <w:pPr>
        <w:ind w:left="720" w:hanging="360"/>
      </w:pPr>
      <w:rPr>
        <w:rFonts w:hint="default"/>
      </w:rPr>
    </w:lvl>
    <w:lvl w:ilvl="1" w:tplc="B6F8B7E6" w:tentative="1">
      <w:start w:val="1"/>
      <w:numFmt w:val="lowerLetter"/>
      <w:lvlText w:val="%2."/>
      <w:lvlJc w:val="left"/>
      <w:pPr>
        <w:ind w:left="1440" w:hanging="360"/>
      </w:pPr>
    </w:lvl>
    <w:lvl w:ilvl="2" w:tplc="7ACECBB2" w:tentative="1">
      <w:start w:val="1"/>
      <w:numFmt w:val="lowerRoman"/>
      <w:lvlText w:val="%3."/>
      <w:lvlJc w:val="right"/>
      <w:pPr>
        <w:ind w:left="2160" w:hanging="180"/>
      </w:pPr>
    </w:lvl>
    <w:lvl w:ilvl="3" w:tplc="E54E8548" w:tentative="1">
      <w:start w:val="1"/>
      <w:numFmt w:val="decimal"/>
      <w:lvlText w:val="%4."/>
      <w:lvlJc w:val="left"/>
      <w:pPr>
        <w:ind w:left="2880" w:hanging="360"/>
      </w:pPr>
    </w:lvl>
    <w:lvl w:ilvl="4" w:tplc="A0D4943E" w:tentative="1">
      <w:start w:val="1"/>
      <w:numFmt w:val="lowerLetter"/>
      <w:lvlText w:val="%5."/>
      <w:lvlJc w:val="left"/>
      <w:pPr>
        <w:ind w:left="3600" w:hanging="360"/>
      </w:pPr>
    </w:lvl>
    <w:lvl w:ilvl="5" w:tplc="AE2AF35E" w:tentative="1">
      <w:start w:val="1"/>
      <w:numFmt w:val="lowerRoman"/>
      <w:lvlText w:val="%6."/>
      <w:lvlJc w:val="right"/>
      <w:pPr>
        <w:ind w:left="4320" w:hanging="180"/>
      </w:pPr>
    </w:lvl>
    <w:lvl w:ilvl="6" w:tplc="F6604E46" w:tentative="1">
      <w:start w:val="1"/>
      <w:numFmt w:val="decimal"/>
      <w:lvlText w:val="%7."/>
      <w:lvlJc w:val="left"/>
      <w:pPr>
        <w:ind w:left="5040" w:hanging="360"/>
      </w:pPr>
    </w:lvl>
    <w:lvl w:ilvl="7" w:tplc="2DA684CE" w:tentative="1">
      <w:start w:val="1"/>
      <w:numFmt w:val="lowerLetter"/>
      <w:lvlText w:val="%8."/>
      <w:lvlJc w:val="left"/>
      <w:pPr>
        <w:ind w:left="5760" w:hanging="360"/>
      </w:pPr>
    </w:lvl>
    <w:lvl w:ilvl="8" w:tplc="5DB6980A" w:tentative="1">
      <w:start w:val="1"/>
      <w:numFmt w:val="lowerRoman"/>
      <w:lvlText w:val="%9."/>
      <w:lvlJc w:val="right"/>
      <w:pPr>
        <w:ind w:left="6480" w:hanging="180"/>
      </w:pPr>
    </w:lvl>
  </w:abstractNum>
  <w:abstractNum w:abstractNumId="23">
    <w:nsid w:val="3F6C5091"/>
    <w:multiLevelType w:val="hybridMultilevel"/>
    <w:tmpl w:val="0FFEFCFA"/>
    <w:lvl w:ilvl="0" w:tplc="F8C8A1C8">
      <w:start w:val="1"/>
      <w:numFmt w:val="decimal"/>
      <w:lvlText w:val="%1)"/>
      <w:lvlJc w:val="left"/>
      <w:pPr>
        <w:ind w:left="1002" w:hanging="360"/>
      </w:pPr>
      <w:rPr>
        <w:rFonts w:hint="default"/>
      </w:rPr>
    </w:lvl>
    <w:lvl w:ilvl="1" w:tplc="04260003" w:tentative="1">
      <w:start w:val="1"/>
      <w:numFmt w:val="bullet"/>
      <w:lvlText w:val="o"/>
      <w:lvlJc w:val="left"/>
      <w:pPr>
        <w:ind w:left="1722" w:hanging="360"/>
      </w:pPr>
      <w:rPr>
        <w:rFonts w:ascii="Courier New" w:hAnsi="Courier New" w:cs="Courier New" w:hint="default"/>
      </w:rPr>
    </w:lvl>
    <w:lvl w:ilvl="2" w:tplc="04260005" w:tentative="1">
      <w:start w:val="1"/>
      <w:numFmt w:val="bullet"/>
      <w:lvlText w:val=""/>
      <w:lvlJc w:val="left"/>
      <w:pPr>
        <w:ind w:left="2442" w:hanging="360"/>
      </w:pPr>
      <w:rPr>
        <w:rFonts w:ascii="Wingdings" w:hAnsi="Wingdings" w:hint="default"/>
      </w:rPr>
    </w:lvl>
    <w:lvl w:ilvl="3" w:tplc="04260001" w:tentative="1">
      <w:start w:val="1"/>
      <w:numFmt w:val="bullet"/>
      <w:lvlText w:val=""/>
      <w:lvlJc w:val="left"/>
      <w:pPr>
        <w:ind w:left="3162" w:hanging="360"/>
      </w:pPr>
      <w:rPr>
        <w:rFonts w:ascii="Symbol" w:hAnsi="Symbol" w:hint="default"/>
      </w:rPr>
    </w:lvl>
    <w:lvl w:ilvl="4" w:tplc="04260003" w:tentative="1">
      <w:start w:val="1"/>
      <w:numFmt w:val="bullet"/>
      <w:lvlText w:val="o"/>
      <w:lvlJc w:val="left"/>
      <w:pPr>
        <w:ind w:left="3882" w:hanging="360"/>
      </w:pPr>
      <w:rPr>
        <w:rFonts w:ascii="Courier New" w:hAnsi="Courier New" w:cs="Courier New" w:hint="default"/>
      </w:rPr>
    </w:lvl>
    <w:lvl w:ilvl="5" w:tplc="04260005" w:tentative="1">
      <w:start w:val="1"/>
      <w:numFmt w:val="bullet"/>
      <w:lvlText w:val=""/>
      <w:lvlJc w:val="left"/>
      <w:pPr>
        <w:ind w:left="4602" w:hanging="360"/>
      </w:pPr>
      <w:rPr>
        <w:rFonts w:ascii="Wingdings" w:hAnsi="Wingdings" w:hint="default"/>
      </w:rPr>
    </w:lvl>
    <w:lvl w:ilvl="6" w:tplc="04260001" w:tentative="1">
      <w:start w:val="1"/>
      <w:numFmt w:val="bullet"/>
      <w:lvlText w:val=""/>
      <w:lvlJc w:val="left"/>
      <w:pPr>
        <w:ind w:left="5322" w:hanging="360"/>
      </w:pPr>
      <w:rPr>
        <w:rFonts w:ascii="Symbol" w:hAnsi="Symbol" w:hint="default"/>
      </w:rPr>
    </w:lvl>
    <w:lvl w:ilvl="7" w:tplc="04260003" w:tentative="1">
      <w:start w:val="1"/>
      <w:numFmt w:val="bullet"/>
      <w:lvlText w:val="o"/>
      <w:lvlJc w:val="left"/>
      <w:pPr>
        <w:ind w:left="6042" w:hanging="360"/>
      </w:pPr>
      <w:rPr>
        <w:rFonts w:ascii="Courier New" w:hAnsi="Courier New" w:cs="Courier New" w:hint="default"/>
      </w:rPr>
    </w:lvl>
    <w:lvl w:ilvl="8" w:tplc="04260005" w:tentative="1">
      <w:start w:val="1"/>
      <w:numFmt w:val="bullet"/>
      <w:lvlText w:val=""/>
      <w:lvlJc w:val="left"/>
      <w:pPr>
        <w:ind w:left="6762" w:hanging="360"/>
      </w:pPr>
      <w:rPr>
        <w:rFonts w:ascii="Wingdings" w:hAnsi="Wingdings" w:hint="default"/>
      </w:rPr>
    </w:lvl>
  </w:abstractNum>
  <w:abstractNum w:abstractNumId="24">
    <w:nsid w:val="400A0E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35D0F57"/>
    <w:multiLevelType w:val="hybridMultilevel"/>
    <w:tmpl w:val="D8642D70"/>
    <w:lvl w:ilvl="0" w:tplc="765A00D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4B8B5120"/>
    <w:multiLevelType w:val="hybridMultilevel"/>
    <w:tmpl w:val="19202D32"/>
    <w:lvl w:ilvl="0" w:tplc="90C8C3C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C661ACB"/>
    <w:multiLevelType w:val="hybridMultilevel"/>
    <w:tmpl w:val="39C45D8C"/>
    <w:lvl w:ilvl="0" w:tplc="7A0A5E90">
      <w:start w:val="4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EF316A7"/>
    <w:multiLevelType w:val="hybridMultilevel"/>
    <w:tmpl w:val="9544CA40"/>
    <w:lvl w:ilvl="0" w:tplc="F8C8A1C8">
      <w:start w:val="1"/>
      <w:numFmt w:val="decimal"/>
      <w:lvlText w:val="%1)"/>
      <w:lvlJc w:val="left"/>
      <w:pPr>
        <w:ind w:left="1724" w:hanging="360"/>
      </w:pPr>
      <w:rPr>
        <w:rFonts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29">
    <w:nsid w:val="535C24C8"/>
    <w:multiLevelType w:val="hybridMultilevel"/>
    <w:tmpl w:val="739E1572"/>
    <w:lvl w:ilvl="0" w:tplc="511405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6A3EE1"/>
    <w:multiLevelType w:val="multilevel"/>
    <w:tmpl w:val="EEF6D74C"/>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64E3358"/>
    <w:multiLevelType w:val="hybridMultilevel"/>
    <w:tmpl w:val="C7B2ABF6"/>
    <w:lvl w:ilvl="0" w:tplc="90C8C3C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9972CAC"/>
    <w:multiLevelType w:val="hybridMultilevel"/>
    <w:tmpl w:val="6CF44DDA"/>
    <w:lvl w:ilvl="0" w:tplc="58D68196">
      <w:start w:val="1"/>
      <w:numFmt w:val="decimal"/>
      <w:lvlText w:val="(%1)"/>
      <w:lvlJc w:val="left"/>
      <w:pPr>
        <w:ind w:left="4122" w:hanging="360"/>
      </w:pPr>
      <w:rPr>
        <w:rFonts w:ascii="Times New Roman" w:hAnsi="Times New Roman" w:cs="Times New Roman" w:hint="default"/>
        <w:b w:val="0"/>
        <w:i w:val="0"/>
        <w:color w:val="auto"/>
        <w:sz w:val="24"/>
        <w:szCs w:val="24"/>
      </w:rPr>
    </w:lvl>
    <w:lvl w:ilvl="1" w:tplc="ECC26410">
      <w:start w:val="1"/>
      <w:numFmt w:val="decimal"/>
      <w:lvlText w:val="%2."/>
      <w:lvlJc w:val="left"/>
      <w:pPr>
        <w:ind w:left="4842" w:hanging="360"/>
      </w:pPr>
      <w:rPr>
        <w:rFonts w:ascii="Times New Roman" w:hAnsi="Times New Roman" w:cs="Times New Roman" w:hint="default"/>
        <w:b w:val="0"/>
        <w:sz w:val="24"/>
        <w:szCs w:val="24"/>
      </w:rPr>
    </w:lvl>
    <w:lvl w:ilvl="2" w:tplc="0426001B" w:tentative="1">
      <w:start w:val="1"/>
      <w:numFmt w:val="lowerRoman"/>
      <w:lvlText w:val="%3."/>
      <w:lvlJc w:val="right"/>
      <w:pPr>
        <w:ind w:left="5562" w:hanging="180"/>
      </w:pPr>
    </w:lvl>
    <w:lvl w:ilvl="3" w:tplc="0426000F" w:tentative="1">
      <w:start w:val="1"/>
      <w:numFmt w:val="decimal"/>
      <w:lvlText w:val="%4."/>
      <w:lvlJc w:val="left"/>
      <w:pPr>
        <w:ind w:left="6282" w:hanging="360"/>
      </w:pPr>
    </w:lvl>
    <w:lvl w:ilvl="4" w:tplc="04260019" w:tentative="1">
      <w:start w:val="1"/>
      <w:numFmt w:val="lowerLetter"/>
      <w:lvlText w:val="%5."/>
      <w:lvlJc w:val="left"/>
      <w:pPr>
        <w:ind w:left="7002" w:hanging="360"/>
      </w:pPr>
    </w:lvl>
    <w:lvl w:ilvl="5" w:tplc="0426001B" w:tentative="1">
      <w:start w:val="1"/>
      <w:numFmt w:val="lowerRoman"/>
      <w:lvlText w:val="%6."/>
      <w:lvlJc w:val="right"/>
      <w:pPr>
        <w:ind w:left="7722" w:hanging="180"/>
      </w:pPr>
    </w:lvl>
    <w:lvl w:ilvl="6" w:tplc="0426000F" w:tentative="1">
      <w:start w:val="1"/>
      <w:numFmt w:val="decimal"/>
      <w:lvlText w:val="%7."/>
      <w:lvlJc w:val="left"/>
      <w:pPr>
        <w:ind w:left="8442" w:hanging="360"/>
      </w:pPr>
    </w:lvl>
    <w:lvl w:ilvl="7" w:tplc="04260019" w:tentative="1">
      <w:start w:val="1"/>
      <w:numFmt w:val="lowerLetter"/>
      <w:lvlText w:val="%8."/>
      <w:lvlJc w:val="left"/>
      <w:pPr>
        <w:ind w:left="9162" w:hanging="360"/>
      </w:pPr>
    </w:lvl>
    <w:lvl w:ilvl="8" w:tplc="0426001B" w:tentative="1">
      <w:start w:val="1"/>
      <w:numFmt w:val="lowerRoman"/>
      <w:lvlText w:val="%9."/>
      <w:lvlJc w:val="right"/>
      <w:pPr>
        <w:ind w:left="9882" w:hanging="180"/>
      </w:pPr>
    </w:lvl>
  </w:abstractNum>
  <w:abstractNum w:abstractNumId="33">
    <w:nsid w:val="59DF0FCC"/>
    <w:multiLevelType w:val="hybridMultilevel"/>
    <w:tmpl w:val="547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7842C4"/>
    <w:multiLevelType w:val="hybridMultilevel"/>
    <w:tmpl w:val="4AD2C2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CC718B4"/>
    <w:multiLevelType w:val="hybridMultilevel"/>
    <w:tmpl w:val="8572D0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07F27E9"/>
    <w:multiLevelType w:val="hybridMultilevel"/>
    <w:tmpl w:val="26EEF052"/>
    <w:lvl w:ilvl="0" w:tplc="ACF0FE92">
      <w:start w:val="1"/>
      <w:numFmt w:val="decimal"/>
      <w:lvlText w:val="%1."/>
      <w:lvlJc w:val="left"/>
      <w:pPr>
        <w:ind w:left="720" w:hanging="360"/>
      </w:pPr>
      <w:rPr>
        <w:rFonts w:hint="default"/>
      </w:rPr>
    </w:lvl>
    <w:lvl w:ilvl="1" w:tplc="B6F8B7E6" w:tentative="1">
      <w:start w:val="1"/>
      <w:numFmt w:val="lowerLetter"/>
      <w:lvlText w:val="%2."/>
      <w:lvlJc w:val="left"/>
      <w:pPr>
        <w:ind w:left="1440" w:hanging="360"/>
      </w:pPr>
    </w:lvl>
    <w:lvl w:ilvl="2" w:tplc="7ACECBB2" w:tentative="1">
      <w:start w:val="1"/>
      <w:numFmt w:val="lowerRoman"/>
      <w:lvlText w:val="%3."/>
      <w:lvlJc w:val="right"/>
      <w:pPr>
        <w:ind w:left="2160" w:hanging="180"/>
      </w:pPr>
    </w:lvl>
    <w:lvl w:ilvl="3" w:tplc="E54E8548" w:tentative="1">
      <w:start w:val="1"/>
      <w:numFmt w:val="decimal"/>
      <w:lvlText w:val="%4."/>
      <w:lvlJc w:val="left"/>
      <w:pPr>
        <w:ind w:left="2880" w:hanging="360"/>
      </w:pPr>
    </w:lvl>
    <w:lvl w:ilvl="4" w:tplc="A0D4943E" w:tentative="1">
      <w:start w:val="1"/>
      <w:numFmt w:val="lowerLetter"/>
      <w:lvlText w:val="%5."/>
      <w:lvlJc w:val="left"/>
      <w:pPr>
        <w:ind w:left="3600" w:hanging="360"/>
      </w:pPr>
    </w:lvl>
    <w:lvl w:ilvl="5" w:tplc="AE2AF35E" w:tentative="1">
      <w:start w:val="1"/>
      <w:numFmt w:val="lowerRoman"/>
      <w:lvlText w:val="%6."/>
      <w:lvlJc w:val="right"/>
      <w:pPr>
        <w:ind w:left="4320" w:hanging="180"/>
      </w:pPr>
    </w:lvl>
    <w:lvl w:ilvl="6" w:tplc="F6604E46" w:tentative="1">
      <w:start w:val="1"/>
      <w:numFmt w:val="decimal"/>
      <w:lvlText w:val="%7."/>
      <w:lvlJc w:val="left"/>
      <w:pPr>
        <w:ind w:left="5040" w:hanging="360"/>
      </w:pPr>
    </w:lvl>
    <w:lvl w:ilvl="7" w:tplc="2DA684CE" w:tentative="1">
      <w:start w:val="1"/>
      <w:numFmt w:val="lowerLetter"/>
      <w:lvlText w:val="%8."/>
      <w:lvlJc w:val="left"/>
      <w:pPr>
        <w:ind w:left="5760" w:hanging="360"/>
      </w:pPr>
    </w:lvl>
    <w:lvl w:ilvl="8" w:tplc="5DB6980A" w:tentative="1">
      <w:start w:val="1"/>
      <w:numFmt w:val="lowerRoman"/>
      <w:lvlText w:val="%9."/>
      <w:lvlJc w:val="right"/>
      <w:pPr>
        <w:ind w:left="6480" w:hanging="180"/>
      </w:pPr>
    </w:lvl>
  </w:abstractNum>
  <w:abstractNum w:abstractNumId="37">
    <w:nsid w:val="64B11D66"/>
    <w:multiLevelType w:val="multilevel"/>
    <w:tmpl w:val="F2F6823E"/>
    <w:lvl w:ilvl="0">
      <w:start w:val="1"/>
      <w:numFmt w:val="decimal"/>
      <w:suff w:val="space"/>
      <w:lvlText w:val="%1."/>
      <w:lvlJc w:val="left"/>
      <w:pPr>
        <w:ind w:left="57" w:firstLine="652"/>
      </w:pPr>
      <w:rPr>
        <w:rFonts w:hint="default"/>
      </w:rPr>
    </w:lvl>
    <w:lvl w:ilvl="1">
      <w:start w:val="1"/>
      <w:numFmt w:val="decimal"/>
      <w:isLgl/>
      <w:lvlText w:val="%1.%2."/>
      <w:lvlJc w:val="left"/>
      <w:pPr>
        <w:ind w:left="57" w:firstLine="652"/>
      </w:pPr>
      <w:rPr>
        <w:rFonts w:hint="default"/>
      </w:rPr>
    </w:lvl>
    <w:lvl w:ilvl="2">
      <w:start w:val="1"/>
      <w:numFmt w:val="decimal"/>
      <w:isLgl/>
      <w:lvlText w:val="%1.%2.%3."/>
      <w:lvlJc w:val="left"/>
      <w:pPr>
        <w:ind w:left="57" w:firstLine="652"/>
      </w:pPr>
      <w:rPr>
        <w:rFonts w:hint="default"/>
      </w:rPr>
    </w:lvl>
    <w:lvl w:ilvl="3">
      <w:start w:val="1"/>
      <w:numFmt w:val="decimal"/>
      <w:isLgl/>
      <w:lvlText w:val="%1.%2.%3.%4."/>
      <w:lvlJc w:val="left"/>
      <w:pPr>
        <w:ind w:left="57" w:firstLine="652"/>
      </w:pPr>
      <w:rPr>
        <w:rFonts w:hint="default"/>
      </w:rPr>
    </w:lvl>
    <w:lvl w:ilvl="4">
      <w:start w:val="1"/>
      <w:numFmt w:val="decimal"/>
      <w:isLgl/>
      <w:lvlText w:val="%1.%2.%3.%4.%5."/>
      <w:lvlJc w:val="left"/>
      <w:pPr>
        <w:ind w:left="57" w:firstLine="652"/>
      </w:pPr>
      <w:rPr>
        <w:rFonts w:hint="default"/>
      </w:rPr>
    </w:lvl>
    <w:lvl w:ilvl="5">
      <w:start w:val="1"/>
      <w:numFmt w:val="decimal"/>
      <w:isLgl/>
      <w:lvlText w:val="%1.%2.%3.%4.%5.%6."/>
      <w:lvlJc w:val="left"/>
      <w:pPr>
        <w:ind w:left="57" w:firstLine="652"/>
      </w:pPr>
      <w:rPr>
        <w:rFonts w:hint="default"/>
      </w:rPr>
    </w:lvl>
    <w:lvl w:ilvl="6">
      <w:start w:val="1"/>
      <w:numFmt w:val="decimal"/>
      <w:isLgl/>
      <w:lvlText w:val="%1.%2.%3.%4.%5.%6.%7."/>
      <w:lvlJc w:val="left"/>
      <w:pPr>
        <w:ind w:left="57" w:firstLine="652"/>
      </w:pPr>
      <w:rPr>
        <w:rFonts w:hint="default"/>
      </w:rPr>
    </w:lvl>
    <w:lvl w:ilvl="7">
      <w:start w:val="1"/>
      <w:numFmt w:val="decimal"/>
      <w:isLgl/>
      <w:lvlText w:val="%1.%2.%3.%4.%5.%6.%7.%8."/>
      <w:lvlJc w:val="left"/>
      <w:pPr>
        <w:ind w:left="57" w:firstLine="652"/>
      </w:pPr>
      <w:rPr>
        <w:rFonts w:hint="default"/>
      </w:rPr>
    </w:lvl>
    <w:lvl w:ilvl="8">
      <w:start w:val="1"/>
      <w:numFmt w:val="decimal"/>
      <w:isLgl/>
      <w:lvlText w:val="%1.%2.%3.%4.%5.%6.%7.%8.%9."/>
      <w:lvlJc w:val="left"/>
      <w:pPr>
        <w:ind w:left="57" w:firstLine="652"/>
      </w:pPr>
      <w:rPr>
        <w:rFonts w:hint="default"/>
      </w:rPr>
    </w:lvl>
  </w:abstractNum>
  <w:abstractNum w:abstractNumId="38">
    <w:nsid w:val="658438B8"/>
    <w:multiLevelType w:val="hybridMultilevel"/>
    <w:tmpl w:val="E202065E"/>
    <w:lvl w:ilvl="0" w:tplc="587ACE1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66D4006"/>
    <w:multiLevelType w:val="hybridMultilevel"/>
    <w:tmpl w:val="ACBE96D6"/>
    <w:lvl w:ilvl="0" w:tplc="90C8C3CC">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40">
    <w:nsid w:val="69313CD2"/>
    <w:multiLevelType w:val="multilevel"/>
    <w:tmpl w:val="FA3A0BEA"/>
    <w:lvl w:ilvl="0">
      <w:start w:val="28"/>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nsid w:val="6C4F65A9"/>
    <w:multiLevelType w:val="hybridMultilevel"/>
    <w:tmpl w:val="6CF6B096"/>
    <w:lvl w:ilvl="0" w:tplc="3724DCF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6FE331AE"/>
    <w:multiLevelType w:val="hybridMultilevel"/>
    <w:tmpl w:val="3AECE7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488643A"/>
    <w:multiLevelType w:val="hybridMultilevel"/>
    <w:tmpl w:val="E41CA3D2"/>
    <w:lvl w:ilvl="0" w:tplc="D660AEF8">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48906B5"/>
    <w:multiLevelType w:val="hybridMultilevel"/>
    <w:tmpl w:val="25826C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4DB4FEF"/>
    <w:multiLevelType w:val="hybridMultilevel"/>
    <w:tmpl w:val="806AF524"/>
    <w:lvl w:ilvl="0" w:tplc="22347A66">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9E229F9"/>
    <w:multiLevelType w:val="hybridMultilevel"/>
    <w:tmpl w:val="83003D52"/>
    <w:lvl w:ilvl="0" w:tplc="F410A93A">
      <w:start w:val="1"/>
      <w:numFmt w:val="decimal"/>
      <w:suff w:val="space"/>
      <w:lvlText w:val="%1."/>
      <w:lvlJc w:val="left"/>
      <w:pPr>
        <w:ind w:left="1639" w:hanging="363"/>
      </w:pPr>
      <w:rPr>
        <w:rFonts w:hint="default"/>
        <w:i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
    <w:nsid w:val="7ADB7E5A"/>
    <w:multiLevelType w:val="hybridMultilevel"/>
    <w:tmpl w:val="2E223890"/>
    <w:lvl w:ilvl="0" w:tplc="D35AAED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nsid w:val="7F790A5A"/>
    <w:multiLevelType w:val="hybridMultilevel"/>
    <w:tmpl w:val="C0A4F9EA"/>
    <w:lvl w:ilvl="0" w:tplc="04260001">
      <w:start w:val="1"/>
      <w:numFmt w:val="bullet"/>
      <w:lvlText w:val=""/>
      <w:lvlJc w:val="left"/>
      <w:pPr>
        <w:ind w:left="1724" w:hanging="360"/>
      </w:pPr>
      <w:rPr>
        <w:rFonts w:ascii="Symbol" w:hAnsi="Symbol" w:hint="default"/>
      </w:rPr>
    </w:lvl>
    <w:lvl w:ilvl="1" w:tplc="04260003" w:tentative="1">
      <w:start w:val="1"/>
      <w:numFmt w:val="bullet"/>
      <w:lvlText w:val="o"/>
      <w:lvlJc w:val="left"/>
      <w:pPr>
        <w:ind w:left="2444" w:hanging="360"/>
      </w:pPr>
      <w:rPr>
        <w:rFonts w:ascii="Courier New" w:hAnsi="Courier New" w:cs="Courier New" w:hint="default"/>
      </w:rPr>
    </w:lvl>
    <w:lvl w:ilvl="2" w:tplc="04260005" w:tentative="1">
      <w:start w:val="1"/>
      <w:numFmt w:val="bullet"/>
      <w:lvlText w:val=""/>
      <w:lvlJc w:val="left"/>
      <w:pPr>
        <w:ind w:left="3164" w:hanging="360"/>
      </w:pPr>
      <w:rPr>
        <w:rFonts w:ascii="Wingdings" w:hAnsi="Wingdings" w:hint="default"/>
      </w:rPr>
    </w:lvl>
    <w:lvl w:ilvl="3" w:tplc="04260001" w:tentative="1">
      <w:start w:val="1"/>
      <w:numFmt w:val="bullet"/>
      <w:lvlText w:val=""/>
      <w:lvlJc w:val="left"/>
      <w:pPr>
        <w:ind w:left="3884" w:hanging="360"/>
      </w:pPr>
      <w:rPr>
        <w:rFonts w:ascii="Symbol" w:hAnsi="Symbol" w:hint="default"/>
      </w:rPr>
    </w:lvl>
    <w:lvl w:ilvl="4" w:tplc="04260003" w:tentative="1">
      <w:start w:val="1"/>
      <w:numFmt w:val="bullet"/>
      <w:lvlText w:val="o"/>
      <w:lvlJc w:val="left"/>
      <w:pPr>
        <w:ind w:left="4604" w:hanging="360"/>
      </w:pPr>
      <w:rPr>
        <w:rFonts w:ascii="Courier New" w:hAnsi="Courier New" w:cs="Courier New" w:hint="default"/>
      </w:rPr>
    </w:lvl>
    <w:lvl w:ilvl="5" w:tplc="04260005" w:tentative="1">
      <w:start w:val="1"/>
      <w:numFmt w:val="bullet"/>
      <w:lvlText w:val=""/>
      <w:lvlJc w:val="left"/>
      <w:pPr>
        <w:ind w:left="5324" w:hanging="360"/>
      </w:pPr>
      <w:rPr>
        <w:rFonts w:ascii="Wingdings" w:hAnsi="Wingdings" w:hint="default"/>
      </w:rPr>
    </w:lvl>
    <w:lvl w:ilvl="6" w:tplc="04260001" w:tentative="1">
      <w:start w:val="1"/>
      <w:numFmt w:val="bullet"/>
      <w:lvlText w:val=""/>
      <w:lvlJc w:val="left"/>
      <w:pPr>
        <w:ind w:left="6044" w:hanging="360"/>
      </w:pPr>
      <w:rPr>
        <w:rFonts w:ascii="Symbol" w:hAnsi="Symbol" w:hint="default"/>
      </w:rPr>
    </w:lvl>
    <w:lvl w:ilvl="7" w:tplc="04260003" w:tentative="1">
      <w:start w:val="1"/>
      <w:numFmt w:val="bullet"/>
      <w:lvlText w:val="o"/>
      <w:lvlJc w:val="left"/>
      <w:pPr>
        <w:ind w:left="6764" w:hanging="360"/>
      </w:pPr>
      <w:rPr>
        <w:rFonts w:ascii="Courier New" w:hAnsi="Courier New" w:cs="Courier New" w:hint="default"/>
      </w:rPr>
    </w:lvl>
    <w:lvl w:ilvl="8" w:tplc="04260005" w:tentative="1">
      <w:start w:val="1"/>
      <w:numFmt w:val="bullet"/>
      <w:lvlText w:val=""/>
      <w:lvlJc w:val="left"/>
      <w:pPr>
        <w:ind w:left="7484" w:hanging="360"/>
      </w:pPr>
      <w:rPr>
        <w:rFonts w:ascii="Wingdings" w:hAnsi="Wingdings" w:hint="default"/>
      </w:rPr>
    </w:lvl>
  </w:abstractNum>
  <w:abstractNum w:abstractNumId="49">
    <w:nsid w:val="7FE7037D"/>
    <w:multiLevelType w:val="hybridMultilevel"/>
    <w:tmpl w:val="3A8A34EA"/>
    <w:lvl w:ilvl="0" w:tplc="DDD834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9"/>
  </w:num>
  <w:num w:numId="2">
    <w:abstractNumId w:val="5"/>
  </w:num>
  <w:num w:numId="3">
    <w:abstractNumId w:val="3"/>
  </w:num>
  <w:num w:numId="4">
    <w:abstractNumId w:val="2"/>
  </w:num>
  <w:num w:numId="5">
    <w:abstractNumId w:val="42"/>
  </w:num>
  <w:num w:numId="6">
    <w:abstractNumId w:val="22"/>
  </w:num>
  <w:num w:numId="7">
    <w:abstractNumId w:val="36"/>
  </w:num>
  <w:num w:numId="8">
    <w:abstractNumId w:val="6"/>
  </w:num>
  <w:num w:numId="9">
    <w:abstractNumId w:val="1"/>
  </w:num>
  <w:num w:numId="10">
    <w:abstractNumId w:val="29"/>
  </w:num>
  <w:num w:numId="11">
    <w:abstractNumId w:val="33"/>
  </w:num>
  <w:num w:numId="12">
    <w:abstractNumId w:val="4"/>
  </w:num>
  <w:num w:numId="13">
    <w:abstractNumId w:val="11"/>
  </w:num>
  <w:num w:numId="14">
    <w:abstractNumId w:val="34"/>
  </w:num>
  <w:num w:numId="15">
    <w:abstractNumId w:val="31"/>
  </w:num>
  <w:num w:numId="16">
    <w:abstractNumId w:val="12"/>
  </w:num>
  <w:num w:numId="17">
    <w:abstractNumId w:val="37"/>
  </w:num>
  <w:num w:numId="18">
    <w:abstractNumId w:val="45"/>
  </w:num>
  <w:num w:numId="19">
    <w:abstractNumId w:val="38"/>
  </w:num>
  <w:num w:numId="20">
    <w:abstractNumId w:val="8"/>
  </w:num>
  <w:num w:numId="21">
    <w:abstractNumId w:val="32"/>
  </w:num>
  <w:num w:numId="22">
    <w:abstractNumId w:val="0"/>
  </w:num>
  <w:num w:numId="23">
    <w:abstractNumId w:val="43"/>
  </w:num>
  <w:num w:numId="24">
    <w:abstractNumId w:val="47"/>
  </w:num>
  <w:num w:numId="25">
    <w:abstractNumId w:val="25"/>
  </w:num>
  <w:num w:numId="26">
    <w:abstractNumId w:val="18"/>
  </w:num>
  <w:num w:numId="27">
    <w:abstractNumId w:val="17"/>
  </w:num>
  <w:num w:numId="28">
    <w:abstractNumId w:val="9"/>
  </w:num>
  <w:num w:numId="29">
    <w:abstractNumId w:val="14"/>
  </w:num>
  <w:num w:numId="30">
    <w:abstractNumId w:val="16"/>
  </w:num>
  <w:num w:numId="31">
    <w:abstractNumId w:val="24"/>
  </w:num>
  <w:num w:numId="32">
    <w:abstractNumId w:val="10"/>
  </w:num>
  <w:num w:numId="33">
    <w:abstractNumId w:val="41"/>
  </w:num>
  <w:num w:numId="34">
    <w:abstractNumId w:val="35"/>
  </w:num>
  <w:num w:numId="35">
    <w:abstractNumId w:val="13"/>
  </w:num>
  <w:num w:numId="36">
    <w:abstractNumId w:val="44"/>
  </w:num>
  <w:num w:numId="37">
    <w:abstractNumId w:val="46"/>
  </w:num>
  <w:num w:numId="38">
    <w:abstractNumId w:val="30"/>
  </w:num>
  <w:num w:numId="39">
    <w:abstractNumId w:val="40"/>
  </w:num>
  <w:num w:numId="40">
    <w:abstractNumId w:val="48"/>
  </w:num>
  <w:num w:numId="41">
    <w:abstractNumId w:val="39"/>
  </w:num>
  <w:num w:numId="42">
    <w:abstractNumId w:val="20"/>
  </w:num>
  <w:num w:numId="43">
    <w:abstractNumId w:val="15"/>
  </w:num>
  <w:num w:numId="44">
    <w:abstractNumId w:val="23"/>
  </w:num>
  <w:num w:numId="45">
    <w:abstractNumId w:val="28"/>
  </w:num>
  <w:num w:numId="46">
    <w:abstractNumId w:val="21"/>
  </w:num>
  <w:num w:numId="47">
    <w:abstractNumId w:val="27"/>
  </w:num>
  <w:num w:numId="48">
    <w:abstractNumId w:val="26"/>
  </w:num>
  <w:num w:numId="49">
    <w:abstractNumId w:val="19"/>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forms" w:enforcement="0"/>
  <w:defaultTabStop w:val="720"/>
  <w:characterSpacingControl w:val="doNotCompress"/>
  <w:hdrShapeDefaults>
    <o:shapedefaults v:ext="edit" spidmax="92161"/>
  </w:hdrShapeDefaults>
  <w:footnotePr>
    <w:footnote w:id="-1"/>
    <w:footnote w:id="0"/>
  </w:footnotePr>
  <w:endnotePr>
    <w:endnote w:id="-1"/>
    <w:endnote w:id="0"/>
  </w:endnotePr>
  <w:compat/>
  <w:rsids>
    <w:rsidRoot w:val="00894C55"/>
    <w:rsid w:val="00001DE7"/>
    <w:rsid w:val="00003AE5"/>
    <w:rsid w:val="000071BA"/>
    <w:rsid w:val="00010013"/>
    <w:rsid w:val="00011341"/>
    <w:rsid w:val="0001752A"/>
    <w:rsid w:val="00020F1D"/>
    <w:rsid w:val="000251CE"/>
    <w:rsid w:val="0003698C"/>
    <w:rsid w:val="0003731D"/>
    <w:rsid w:val="00042FA2"/>
    <w:rsid w:val="0004749F"/>
    <w:rsid w:val="000527E0"/>
    <w:rsid w:val="0005458F"/>
    <w:rsid w:val="00055027"/>
    <w:rsid w:val="00066C95"/>
    <w:rsid w:val="000729F9"/>
    <w:rsid w:val="00075553"/>
    <w:rsid w:val="000778F4"/>
    <w:rsid w:val="0008185A"/>
    <w:rsid w:val="000839D7"/>
    <w:rsid w:val="00084C79"/>
    <w:rsid w:val="00087381"/>
    <w:rsid w:val="00096671"/>
    <w:rsid w:val="000B7C1D"/>
    <w:rsid w:val="000B7CAB"/>
    <w:rsid w:val="000C1897"/>
    <w:rsid w:val="000C525B"/>
    <w:rsid w:val="000C620C"/>
    <w:rsid w:val="000C7DB0"/>
    <w:rsid w:val="000D2774"/>
    <w:rsid w:val="000D7B1A"/>
    <w:rsid w:val="000E4019"/>
    <w:rsid w:val="000F0E4E"/>
    <w:rsid w:val="000F1159"/>
    <w:rsid w:val="000F1349"/>
    <w:rsid w:val="000F16F5"/>
    <w:rsid w:val="000F2934"/>
    <w:rsid w:val="000F2CEE"/>
    <w:rsid w:val="000F64F9"/>
    <w:rsid w:val="000F71A4"/>
    <w:rsid w:val="000F7CF8"/>
    <w:rsid w:val="001036AC"/>
    <w:rsid w:val="00106D39"/>
    <w:rsid w:val="0011753E"/>
    <w:rsid w:val="00127480"/>
    <w:rsid w:val="00130EE8"/>
    <w:rsid w:val="00140001"/>
    <w:rsid w:val="00141DC7"/>
    <w:rsid w:val="00146B3D"/>
    <w:rsid w:val="001507F1"/>
    <w:rsid w:val="0015458F"/>
    <w:rsid w:val="001548AA"/>
    <w:rsid w:val="00154B98"/>
    <w:rsid w:val="00157690"/>
    <w:rsid w:val="001633AA"/>
    <w:rsid w:val="00172395"/>
    <w:rsid w:val="001778DB"/>
    <w:rsid w:val="00177D5C"/>
    <w:rsid w:val="001868F4"/>
    <w:rsid w:val="0018717B"/>
    <w:rsid w:val="00193C7D"/>
    <w:rsid w:val="00194C47"/>
    <w:rsid w:val="00194EB3"/>
    <w:rsid w:val="001A15A1"/>
    <w:rsid w:val="001A53EB"/>
    <w:rsid w:val="001B4687"/>
    <w:rsid w:val="001B515F"/>
    <w:rsid w:val="001B6580"/>
    <w:rsid w:val="001B6B88"/>
    <w:rsid w:val="001C11AE"/>
    <w:rsid w:val="001C3364"/>
    <w:rsid w:val="001C743D"/>
    <w:rsid w:val="001D0459"/>
    <w:rsid w:val="001D100D"/>
    <w:rsid w:val="001E1756"/>
    <w:rsid w:val="001E41E7"/>
    <w:rsid w:val="001E7495"/>
    <w:rsid w:val="001F2CD8"/>
    <w:rsid w:val="001F38A9"/>
    <w:rsid w:val="001F45DC"/>
    <w:rsid w:val="001F7458"/>
    <w:rsid w:val="00200A29"/>
    <w:rsid w:val="00204BD0"/>
    <w:rsid w:val="0020759C"/>
    <w:rsid w:val="00211541"/>
    <w:rsid w:val="00214224"/>
    <w:rsid w:val="00217748"/>
    <w:rsid w:val="00225AF3"/>
    <w:rsid w:val="00230C4F"/>
    <w:rsid w:val="0023249D"/>
    <w:rsid w:val="00232B6E"/>
    <w:rsid w:val="00232D41"/>
    <w:rsid w:val="0023402E"/>
    <w:rsid w:val="00243426"/>
    <w:rsid w:val="00250E40"/>
    <w:rsid w:val="00252C95"/>
    <w:rsid w:val="00253FD9"/>
    <w:rsid w:val="00255EC7"/>
    <w:rsid w:val="00262093"/>
    <w:rsid w:val="002712A1"/>
    <w:rsid w:val="002761AB"/>
    <w:rsid w:val="00276711"/>
    <w:rsid w:val="002828A5"/>
    <w:rsid w:val="00297286"/>
    <w:rsid w:val="002B16D5"/>
    <w:rsid w:val="002B3F06"/>
    <w:rsid w:val="002B5F0D"/>
    <w:rsid w:val="002C31AB"/>
    <w:rsid w:val="002C3CED"/>
    <w:rsid w:val="002C6CA3"/>
    <w:rsid w:val="002D2797"/>
    <w:rsid w:val="002D3323"/>
    <w:rsid w:val="002D52DC"/>
    <w:rsid w:val="002D6685"/>
    <w:rsid w:val="002E1C05"/>
    <w:rsid w:val="002E4BFB"/>
    <w:rsid w:val="002E6431"/>
    <w:rsid w:val="002E7AFC"/>
    <w:rsid w:val="002E7C22"/>
    <w:rsid w:val="002F2B31"/>
    <w:rsid w:val="002F2C93"/>
    <w:rsid w:val="002F4CA7"/>
    <w:rsid w:val="002F69A1"/>
    <w:rsid w:val="003004F9"/>
    <w:rsid w:val="003020C7"/>
    <w:rsid w:val="00306EF9"/>
    <w:rsid w:val="003079C2"/>
    <w:rsid w:val="00307DED"/>
    <w:rsid w:val="0031025A"/>
    <w:rsid w:val="00311145"/>
    <w:rsid w:val="0031647B"/>
    <w:rsid w:val="00323D48"/>
    <w:rsid w:val="00325911"/>
    <w:rsid w:val="00334153"/>
    <w:rsid w:val="003342E8"/>
    <w:rsid w:val="0033740A"/>
    <w:rsid w:val="003452FA"/>
    <w:rsid w:val="00350B47"/>
    <w:rsid w:val="00351A0A"/>
    <w:rsid w:val="00354467"/>
    <w:rsid w:val="00362B17"/>
    <w:rsid w:val="00367BC3"/>
    <w:rsid w:val="00370027"/>
    <w:rsid w:val="0037078F"/>
    <w:rsid w:val="0037210D"/>
    <w:rsid w:val="00373BD3"/>
    <w:rsid w:val="00373F80"/>
    <w:rsid w:val="003752A4"/>
    <w:rsid w:val="00376D18"/>
    <w:rsid w:val="0037706B"/>
    <w:rsid w:val="00380B78"/>
    <w:rsid w:val="00386D1B"/>
    <w:rsid w:val="00390690"/>
    <w:rsid w:val="0039085F"/>
    <w:rsid w:val="003909EC"/>
    <w:rsid w:val="0039780F"/>
    <w:rsid w:val="003A1715"/>
    <w:rsid w:val="003A2142"/>
    <w:rsid w:val="003A7E7E"/>
    <w:rsid w:val="003B0BF9"/>
    <w:rsid w:val="003B2E50"/>
    <w:rsid w:val="003B4BA1"/>
    <w:rsid w:val="003B5165"/>
    <w:rsid w:val="003B51F4"/>
    <w:rsid w:val="003C003F"/>
    <w:rsid w:val="003C2A4B"/>
    <w:rsid w:val="003C42CA"/>
    <w:rsid w:val="003C4999"/>
    <w:rsid w:val="003C651B"/>
    <w:rsid w:val="003D0A75"/>
    <w:rsid w:val="003D0F8E"/>
    <w:rsid w:val="003D1FCB"/>
    <w:rsid w:val="003D2097"/>
    <w:rsid w:val="003D58E6"/>
    <w:rsid w:val="003E0791"/>
    <w:rsid w:val="003E0C22"/>
    <w:rsid w:val="003E64F0"/>
    <w:rsid w:val="003F28AC"/>
    <w:rsid w:val="003F2BC1"/>
    <w:rsid w:val="003F2E0D"/>
    <w:rsid w:val="003F3531"/>
    <w:rsid w:val="003F475D"/>
    <w:rsid w:val="004129C2"/>
    <w:rsid w:val="00415D36"/>
    <w:rsid w:val="004233F2"/>
    <w:rsid w:val="004260D1"/>
    <w:rsid w:val="004321FA"/>
    <w:rsid w:val="004454FE"/>
    <w:rsid w:val="00445E7A"/>
    <w:rsid w:val="00456E40"/>
    <w:rsid w:val="004575A3"/>
    <w:rsid w:val="004618EF"/>
    <w:rsid w:val="00461EE4"/>
    <w:rsid w:val="004702F6"/>
    <w:rsid w:val="00471F27"/>
    <w:rsid w:val="0047376F"/>
    <w:rsid w:val="00473E43"/>
    <w:rsid w:val="00477EE8"/>
    <w:rsid w:val="004811BB"/>
    <w:rsid w:val="00483357"/>
    <w:rsid w:val="00487E6B"/>
    <w:rsid w:val="00492DD0"/>
    <w:rsid w:val="004A37E3"/>
    <w:rsid w:val="004A5C79"/>
    <w:rsid w:val="004B3508"/>
    <w:rsid w:val="004B471F"/>
    <w:rsid w:val="004B71BD"/>
    <w:rsid w:val="004C2085"/>
    <w:rsid w:val="004D2A19"/>
    <w:rsid w:val="004D2A21"/>
    <w:rsid w:val="004D7C97"/>
    <w:rsid w:val="004E1FD6"/>
    <w:rsid w:val="004E3D25"/>
    <w:rsid w:val="004F758B"/>
    <w:rsid w:val="00500B35"/>
    <w:rsid w:val="0050178F"/>
    <w:rsid w:val="00502654"/>
    <w:rsid w:val="00504AE8"/>
    <w:rsid w:val="00505F72"/>
    <w:rsid w:val="0050743F"/>
    <w:rsid w:val="00514FFA"/>
    <w:rsid w:val="0051573E"/>
    <w:rsid w:val="0051701F"/>
    <w:rsid w:val="0051795F"/>
    <w:rsid w:val="00521E7C"/>
    <w:rsid w:val="0052708B"/>
    <w:rsid w:val="00530A60"/>
    <w:rsid w:val="0053285B"/>
    <w:rsid w:val="005344E0"/>
    <w:rsid w:val="005353E0"/>
    <w:rsid w:val="00540CB3"/>
    <w:rsid w:val="005454B7"/>
    <w:rsid w:val="00545B89"/>
    <w:rsid w:val="00557312"/>
    <w:rsid w:val="005576F5"/>
    <w:rsid w:val="00562D76"/>
    <w:rsid w:val="00564D69"/>
    <w:rsid w:val="005759EF"/>
    <w:rsid w:val="00580188"/>
    <w:rsid w:val="00581FF8"/>
    <w:rsid w:val="005903B0"/>
    <w:rsid w:val="00590DE7"/>
    <w:rsid w:val="0059219C"/>
    <w:rsid w:val="00597C33"/>
    <w:rsid w:val="005A1D43"/>
    <w:rsid w:val="005A7E64"/>
    <w:rsid w:val="005B163A"/>
    <w:rsid w:val="005B2A9D"/>
    <w:rsid w:val="005C1A3A"/>
    <w:rsid w:val="005C5D0C"/>
    <w:rsid w:val="005C6FA3"/>
    <w:rsid w:val="005D0462"/>
    <w:rsid w:val="005D0B6C"/>
    <w:rsid w:val="005D2051"/>
    <w:rsid w:val="005D3B06"/>
    <w:rsid w:val="005D682F"/>
    <w:rsid w:val="005D7863"/>
    <w:rsid w:val="005E3CD8"/>
    <w:rsid w:val="005E6860"/>
    <w:rsid w:val="005E7C92"/>
    <w:rsid w:val="005F321E"/>
    <w:rsid w:val="00600792"/>
    <w:rsid w:val="00604355"/>
    <w:rsid w:val="006064FF"/>
    <w:rsid w:val="00606B9B"/>
    <w:rsid w:val="00620EED"/>
    <w:rsid w:val="00626290"/>
    <w:rsid w:val="00631186"/>
    <w:rsid w:val="006336F5"/>
    <w:rsid w:val="00637CDF"/>
    <w:rsid w:val="00654D4D"/>
    <w:rsid w:val="00655F2C"/>
    <w:rsid w:val="006616D2"/>
    <w:rsid w:val="00662DC4"/>
    <w:rsid w:val="00662DFA"/>
    <w:rsid w:val="006806E4"/>
    <w:rsid w:val="006832A9"/>
    <w:rsid w:val="006841FE"/>
    <w:rsid w:val="006945C1"/>
    <w:rsid w:val="006A16A2"/>
    <w:rsid w:val="006A25C4"/>
    <w:rsid w:val="006A5AD6"/>
    <w:rsid w:val="006A6A53"/>
    <w:rsid w:val="006B2171"/>
    <w:rsid w:val="006B2935"/>
    <w:rsid w:val="006B2E84"/>
    <w:rsid w:val="006B51DC"/>
    <w:rsid w:val="006C1F85"/>
    <w:rsid w:val="006C2D2D"/>
    <w:rsid w:val="006D6908"/>
    <w:rsid w:val="006D6E14"/>
    <w:rsid w:val="006D76D6"/>
    <w:rsid w:val="006E067A"/>
    <w:rsid w:val="006E1081"/>
    <w:rsid w:val="006E5D8A"/>
    <w:rsid w:val="006E7048"/>
    <w:rsid w:val="006F5B0D"/>
    <w:rsid w:val="006F66C7"/>
    <w:rsid w:val="00700383"/>
    <w:rsid w:val="0071068E"/>
    <w:rsid w:val="007121A1"/>
    <w:rsid w:val="00720585"/>
    <w:rsid w:val="00724174"/>
    <w:rsid w:val="00724727"/>
    <w:rsid w:val="00734000"/>
    <w:rsid w:val="00734C15"/>
    <w:rsid w:val="007364DC"/>
    <w:rsid w:val="007502D6"/>
    <w:rsid w:val="007521AC"/>
    <w:rsid w:val="00760BE5"/>
    <w:rsid w:val="00760FCB"/>
    <w:rsid w:val="00766D7F"/>
    <w:rsid w:val="00773AF6"/>
    <w:rsid w:val="00783FF7"/>
    <w:rsid w:val="007874BE"/>
    <w:rsid w:val="00795F71"/>
    <w:rsid w:val="007A0B23"/>
    <w:rsid w:val="007A1CDC"/>
    <w:rsid w:val="007B0342"/>
    <w:rsid w:val="007B3861"/>
    <w:rsid w:val="007B3BF2"/>
    <w:rsid w:val="007B55E0"/>
    <w:rsid w:val="007C263C"/>
    <w:rsid w:val="007C4E1F"/>
    <w:rsid w:val="007C5A9A"/>
    <w:rsid w:val="007D1379"/>
    <w:rsid w:val="007D37E2"/>
    <w:rsid w:val="007D5188"/>
    <w:rsid w:val="007D72CF"/>
    <w:rsid w:val="007E22FE"/>
    <w:rsid w:val="007E28B2"/>
    <w:rsid w:val="007E3B15"/>
    <w:rsid w:val="007E4BF7"/>
    <w:rsid w:val="007E5F7A"/>
    <w:rsid w:val="007E6434"/>
    <w:rsid w:val="007E73AB"/>
    <w:rsid w:val="007F02DB"/>
    <w:rsid w:val="007F40F0"/>
    <w:rsid w:val="00800839"/>
    <w:rsid w:val="00810C97"/>
    <w:rsid w:val="00810D37"/>
    <w:rsid w:val="00811257"/>
    <w:rsid w:val="008143F9"/>
    <w:rsid w:val="00816C11"/>
    <w:rsid w:val="00823C81"/>
    <w:rsid w:val="00831748"/>
    <w:rsid w:val="0084065F"/>
    <w:rsid w:val="008406D0"/>
    <w:rsid w:val="00847132"/>
    <w:rsid w:val="00856B33"/>
    <w:rsid w:val="00864CF8"/>
    <w:rsid w:val="00870364"/>
    <w:rsid w:val="00871DE8"/>
    <w:rsid w:val="00874970"/>
    <w:rsid w:val="00876972"/>
    <w:rsid w:val="00880CA5"/>
    <w:rsid w:val="0088151C"/>
    <w:rsid w:val="008830DF"/>
    <w:rsid w:val="008913FC"/>
    <w:rsid w:val="00894549"/>
    <w:rsid w:val="00894AE4"/>
    <w:rsid w:val="00894C55"/>
    <w:rsid w:val="008A0D5B"/>
    <w:rsid w:val="008A1292"/>
    <w:rsid w:val="008B7B15"/>
    <w:rsid w:val="008C14F0"/>
    <w:rsid w:val="008C30EB"/>
    <w:rsid w:val="008D210E"/>
    <w:rsid w:val="008D3768"/>
    <w:rsid w:val="008D7473"/>
    <w:rsid w:val="008E4C05"/>
    <w:rsid w:val="008E6020"/>
    <w:rsid w:val="008E6975"/>
    <w:rsid w:val="008F3CAD"/>
    <w:rsid w:val="00901353"/>
    <w:rsid w:val="00901C57"/>
    <w:rsid w:val="00904969"/>
    <w:rsid w:val="00905CCD"/>
    <w:rsid w:val="00905F36"/>
    <w:rsid w:val="0090766B"/>
    <w:rsid w:val="009122F1"/>
    <w:rsid w:val="00912A8C"/>
    <w:rsid w:val="00916E5C"/>
    <w:rsid w:val="00917C80"/>
    <w:rsid w:val="00922E4C"/>
    <w:rsid w:val="009267FB"/>
    <w:rsid w:val="00931ADA"/>
    <w:rsid w:val="0093296D"/>
    <w:rsid w:val="009331D6"/>
    <w:rsid w:val="00934A73"/>
    <w:rsid w:val="00934C69"/>
    <w:rsid w:val="009369BF"/>
    <w:rsid w:val="00941B3D"/>
    <w:rsid w:val="0094418E"/>
    <w:rsid w:val="009447C0"/>
    <w:rsid w:val="00954133"/>
    <w:rsid w:val="00955716"/>
    <w:rsid w:val="00956ABE"/>
    <w:rsid w:val="00965FEC"/>
    <w:rsid w:val="00967A17"/>
    <w:rsid w:val="0099098F"/>
    <w:rsid w:val="00990DFB"/>
    <w:rsid w:val="00996F6E"/>
    <w:rsid w:val="009A2542"/>
    <w:rsid w:val="009A2654"/>
    <w:rsid w:val="009A3D7D"/>
    <w:rsid w:val="009A7C48"/>
    <w:rsid w:val="009B06F2"/>
    <w:rsid w:val="009B0D5B"/>
    <w:rsid w:val="009B24F2"/>
    <w:rsid w:val="009B31A7"/>
    <w:rsid w:val="009B435C"/>
    <w:rsid w:val="009B56BC"/>
    <w:rsid w:val="009B64FA"/>
    <w:rsid w:val="009B6E9F"/>
    <w:rsid w:val="009B7CD1"/>
    <w:rsid w:val="009C6A62"/>
    <w:rsid w:val="009D448C"/>
    <w:rsid w:val="009E078B"/>
    <w:rsid w:val="009E10B4"/>
    <w:rsid w:val="009E2E69"/>
    <w:rsid w:val="009E5176"/>
    <w:rsid w:val="009F7055"/>
    <w:rsid w:val="00A0257D"/>
    <w:rsid w:val="00A026B3"/>
    <w:rsid w:val="00A07160"/>
    <w:rsid w:val="00A10E66"/>
    <w:rsid w:val="00A10FC3"/>
    <w:rsid w:val="00A13E48"/>
    <w:rsid w:val="00A171D1"/>
    <w:rsid w:val="00A175D4"/>
    <w:rsid w:val="00A219C9"/>
    <w:rsid w:val="00A24F91"/>
    <w:rsid w:val="00A2785C"/>
    <w:rsid w:val="00A3215F"/>
    <w:rsid w:val="00A32AF6"/>
    <w:rsid w:val="00A33F92"/>
    <w:rsid w:val="00A340EC"/>
    <w:rsid w:val="00A36AFC"/>
    <w:rsid w:val="00A466AD"/>
    <w:rsid w:val="00A53DC6"/>
    <w:rsid w:val="00A56A13"/>
    <w:rsid w:val="00A6073E"/>
    <w:rsid w:val="00A6286C"/>
    <w:rsid w:val="00A62B80"/>
    <w:rsid w:val="00A648FD"/>
    <w:rsid w:val="00A65172"/>
    <w:rsid w:val="00A6715A"/>
    <w:rsid w:val="00A67B29"/>
    <w:rsid w:val="00A72284"/>
    <w:rsid w:val="00A75922"/>
    <w:rsid w:val="00A83CD1"/>
    <w:rsid w:val="00A83E57"/>
    <w:rsid w:val="00A92027"/>
    <w:rsid w:val="00A942D0"/>
    <w:rsid w:val="00A9517D"/>
    <w:rsid w:val="00A9787A"/>
    <w:rsid w:val="00AA0937"/>
    <w:rsid w:val="00AA148D"/>
    <w:rsid w:val="00AA452C"/>
    <w:rsid w:val="00AA6E05"/>
    <w:rsid w:val="00AA770E"/>
    <w:rsid w:val="00AB29E4"/>
    <w:rsid w:val="00AB317C"/>
    <w:rsid w:val="00AB461F"/>
    <w:rsid w:val="00AB53F3"/>
    <w:rsid w:val="00AC259C"/>
    <w:rsid w:val="00AD2758"/>
    <w:rsid w:val="00AD3BF3"/>
    <w:rsid w:val="00AD55F4"/>
    <w:rsid w:val="00AD5FF6"/>
    <w:rsid w:val="00AE01D1"/>
    <w:rsid w:val="00AE3F96"/>
    <w:rsid w:val="00AE4167"/>
    <w:rsid w:val="00AE5567"/>
    <w:rsid w:val="00AF0406"/>
    <w:rsid w:val="00AF1239"/>
    <w:rsid w:val="00AF1667"/>
    <w:rsid w:val="00AF5386"/>
    <w:rsid w:val="00AF5AF8"/>
    <w:rsid w:val="00B02B23"/>
    <w:rsid w:val="00B0357C"/>
    <w:rsid w:val="00B03753"/>
    <w:rsid w:val="00B03BC8"/>
    <w:rsid w:val="00B04F55"/>
    <w:rsid w:val="00B15FBE"/>
    <w:rsid w:val="00B16480"/>
    <w:rsid w:val="00B2165C"/>
    <w:rsid w:val="00B27E69"/>
    <w:rsid w:val="00B363DD"/>
    <w:rsid w:val="00B364D4"/>
    <w:rsid w:val="00B40F93"/>
    <w:rsid w:val="00B439C6"/>
    <w:rsid w:val="00B468B9"/>
    <w:rsid w:val="00B52DCC"/>
    <w:rsid w:val="00B5320F"/>
    <w:rsid w:val="00B5354C"/>
    <w:rsid w:val="00B55DAE"/>
    <w:rsid w:val="00B56E83"/>
    <w:rsid w:val="00B57A2F"/>
    <w:rsid w:val="00B626F0"/>
    <w:rsid w:val="00B65606"/>
    <w:rsid w:val="00B65CEF"/>
    <w:rsid w:val="00B666A6"/>
    <w:rsid w:val="00B73446"/>
    <w:rsid w:val="00B84B43"/>
    <w:rsid w:val="00B95DA3"/>
    <w:rsid w:val="00B97515"/>
    <w:rsid w:val="00BA20AA"/>
    <w:rsid w:val="00BA4414"/>
    <w:rsid w:val="00BA77DE"/>
    <w:rsid w:val="00BA7A16"/>
    <w:rsid w:val="00BB0736"/>
    <w:rsid w:val="00BB73F1"/>
    <w:rsid w:val="00BC15D5"/>
    <w:rsid w:val="00BC599B"/>
    <w:rsid w:val="00BC5A99"/>
    <w:rsid w:val="00BD17B5"/>
    <w:rsid w:val="00BD416E"/>
    <w:rsid w:val="00BD4425"/>
    <w:rsid w:val="00BD59E8"/>
    <w:rsid w:val="00BD67FB"/>
    <w:rsid w:val="00BD732E"/>
    <w:rsid w:val="00BD7D70"/>
    <w:rsid w:val="00BE0DB6"/>
    <w:rsid w:val="00BE13C9"/>
    <w:rsid w:val="00BE5552"/>
    <w:rsid w:val="00BF2D58"/>
    <w:rsid w:val="00BF7D4E"/>
    <w:rsid w:val="00C10285"/>
    <w:rsid w:val="00C126D3"/>
    <w:rsid w:val="00C13C7E"/>
    <w:rsid w:val="00C15949"/>
    <w:rsid w:val="00C15FEA"/>
    <w:rsid w:val="00C16201"/>
    <w:rsid w:val="00C2109F"/>
    <w:rsid w:val="00C23B9A"/>
    <w:rsid w:val="00C2429D"/>
    <w:rsid w:val="00C25B49"/>
    <w:rsid w:val="00C25B95"/>
    <w:rsid w:val="00C26835"/>
    <w:rsid w:val="00C270C8"/>
    <w:rsid w:val="00C31630"/>
    <w:rsid w:val="00C34A65"/>
    <w:rsid w:val="00C34CDA"/>
    <w:rsid w:val="00C471B3"/>
    <w:rsid w:val="00C51148"/>
    <w:rsid w:val="00C54375"/>
    <w:rsid w:val="00C558CB"/>
    <w:rsid w:val="00C63249"/>
    <w:rsid w:val="00C703E4"/>
    <w:rsid w:val="00C7209D"/>
    <w:rsid w:val="00C74238"/>
    <w:rsid w:val="00C778A1"/>
    <w:rsid w:val="00C80449"/>
    <w:rsid w:val="00C8046B"/>
    <w:rsid w:val="00C80802"/>
    <w:rsid w:val="00C8380A"/>
    <w:rsid w:val="00C9095F"/>
    <w:rsid w:val="00C90A5E"/>
    <w:rsid w:val="00C91EA1"/>
    <w:rsid w:val="00C94A64"/>
    <w:rsid w:val="00C97AF5"/>
    <w:rsid w:val="00C97F1E"/>
    <w:rsid w:val="00CA1F59"/>
    <w:rsid w:val="00CA5795"/>
    <w:rsid w:val="00CA6A63"/>
    <w:rsid w:val="00CB7C55"/>
    <w:rsid w:val="00CC0D2D"/>
    <w:rsid w:val="00CC35EC"/>
    <w:rsid w:val="00CD6136"/>
    <w:rsid w:val="00CD7028"/>
    <w:rsid w:val="00CE3690"/>
    <w:rsid w:val="00CE48FF"/>
    <w:rsid w:val="00CE5657"/>
    <w:rsid w:val="00CE6E09"/>
    <w:rsid w:val="00D00F6E"/>
    <w:rsid w:val="00D02483"/>
    <w:rsid w:val="00D133F8"/>
    <w:rsid w:val="00D13425"/>
    <w:rsid w:val="00D14A3E"/>
    <w:rsid w:val="00D222D9"/>
    <w:rsid w:val="00D22B8F"/>
    <w:rsid w:val="00D23F6A"/>
    <w:rsid w:val="00D25B50"/>
    <w:rsid w:val="00D25DFC"/>
    <w:rsid w:val="00D25E29"/>
    <w:rsid w:val="00D36ACF"/>
    <w:rsid w:val="00D40C41"/>
    <w:rsid w:val="00D42F01"/>
    <w:rsid w:val="00D43DDC"/>
    <w:rsid w:val="00D4754E"/>
    <w:rsid w:val="00D51133"/>
    <w:rsid w:val="00D521A4"/>
    <w:rsid w:val="00D54248"/>
    <w:rsid w:val="00D54527"/>
    <w:rsid w:val="00D54706"/>
    <w:rsid w:val="00D566D5"/>
    <w:rsid w:val="00D60536"/>
    <w:rsid w:val="00D60D29"/>
    <w:rsid w:val="00D621BB"/>
    <w:rsid w:val="00D7139C"/>
    <w:rsid w:val="00D72E62"/>
    <w:rsid w:val="00D91ACE"/>
    <w:rsid w:val="00D94E66"/>
    <w:rsid w:val="00DA210A"/>
    <w:rsid w:val="00DA53E3"/>
    <w:rsid w:val="00DA6613"/>
    <w:rsid w:val="00DA69D0"/>
    <w:rsid w:val="00DB1780"/>
    <w:rsid w:val="00DB22FD"/>
    <w:rsid w:val="00DB70B3"/>
    <w:rsid w:val="00DC0092"/>
    <w:rsid w:val="00DC74AD"/>
    <w:rsid w:val="00DD455F"/>
    <w:rsid w:val="00DE34E3"/>
    <w:rsid w:val="00DE4205"/>
    <w:rsid w:val="00DE4716"/>
    <w:rsid w:val="00DE4A39"/>
    <w:rsid w:val="00DE63DB"/>
    <w:rsid w:val="00DF2178"/>
    <w:rsid w:val="00DF3324"/>
    <w:rsid w:val="00DF48E7"/>
    <w:rsid w:val="00E04483"/>
    <w:rsid w:val="00E053FE"/>
    <w:rsid w:val="00E05E90"/>
    <w:rsid w:val="00E07EF5"/>
    <w:rsid w:val="00E11839"/>
    <w:rsid w:val="00E14CCA"/>
    <w:rsid w:val="00E22BA1"/>
    <w:rsid w:val="00E328B9"/>
    <w:rsid w:val="00E349FC"/>
    <w:rsid w:val="00E3716B"/>
    <w:rsid w:val="00E41FAB"/>
    <w:rsid w:val="00E431EC"/>
    <w:rsid w:val="00E4390C"/>
    <w:rsid w:val="00E4581E"/>
    <w:rsid w:val="00E50605"/>
    <w:rsid w:val="00E5323B"/>
    <w:rsid w:val="00E53728"/>
    <w:rsid w:val="00E6356F"/>
    <w:rsid w:val="00E65B1F"/>
    <w:rsid w:val="00E71089"/>
    <w:rsid w:val="00E71A85"/>
    <w:rsid w:val="00E74D5D"/>
    <w:rsid w:val="00E75EE4"/>
    <w:rsid w:val="00E8231D"/>
    <w:rsid w:val="00E84734"/>
    <w:rsid w:val="00E8749E"/>
    <w:rsid w:val="00E903C0"/>
    <w:rsid w:val="00E90C01"/>
    <w:rsid w:val="00E92FE3"/>
    <w:rsid w:val="00E94F74"/>
    <w:rsid w:val="00EA137B"/>
    <w:rsid w:val="00EA4802"/>
    <w:rsid w:val="00EA486E"/>
    <w:rsid w:val="00EA507F"/>
    <w:rsid w:val="00EA7052"/>
    <w:rsid w:val="00EB055E"/>
    <w:rsid w:val="00EB4B0E"/>
    <w:rsid w:val="00EC3912"/>
    <w:rsid w:val="00EC4A3F"/>
    <w:rsid w:val="00EC5696"/>
    <w:rsid w:val="00ED1F74"/>
    <w:rsid w:val="00ED2770"/>
    <w:rsid w:val="00ED2BAC"/>
    <w:rsid w:val="00EE3B61"/>
    <w:rsid w:val="00EE3F6D"/>
    <w:rsid w:val="00EF417B"/>
    <w:rsid w:val="00EF58AF"/>
    <w:rsid w:val="00F0316F"/>
    <w:rsid w:val="00F12406"/>
    <w:rsid w:val="00F132AF"/>
    <w:rsid w:val="00F1350F"/>
    <w:rsid w:val="00F137BA"/>
    <w:rsid w:val="00F15FCD"/>
    <w:rsid w:val="00F163E0"/>
    <w:rsid w:val="00F20741"/>
    <w:rsid w:val="00F25EFE"/>
    <w:rsid w:val="00F421DB"/>
    <w:rsid w:val="00F46F8D"/>
    <w:rsid w:val="00F52729"/>
    <w:rsid w:val="00F53CDF"/>
    <w:rsid w:val="00F575DF"/>
    <w:rsid w:val="00F57B0C"/>
    <w:rsid w:val="00F61925"/>
    <w:rsid w:val="00F63CBA"/>
    <w:rsid w:val="00F703F0"/>
    <w:rsid w:val="00F74586"/>
    <w:rsid w:val="00F847E2"/>
    <w:rsid w:val="00F90C76"/>
    <w:rsid w:val="00F93327"/>
    <w:rsid w:val="00F9788D"/>
    <w:rsid w:val="00FA1243"/>
    <w:rsid w:val="00FA1A24"/>
    <w:rsid w:val="00FC08B6"/>
    <w:rsid w:val="00FC338C"/>
    <w:rsid w:val="00FC38A5"/>
    <w:rsid w:val="00FC3E0C"/>
    <w:rsid w:val="00FD06AE"/>
    <w:rsid w:val="00FD35F2"/>
    <w:rsid w:val="00FE0946"/>
    <w:rsid w:val="00FE2DD3"/>
    <w:rsid w:val="00FE5DEE"/>
    <w:rsid w:val="00FF3A09"/>
    <w:rsid w:val="00FF54D3"/>
    <w:rsid w:val="00FF6E4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nhideWhenUsed/>
    <w:rsid w:val="00894C55"/>
    <w:rPr>
      <w:color w:val="0000FF"/>
      <w:u w:val="single"/>
    </w:rPr>
  </w:style>
  <w:style w:type="paragraph" w:customStyle="1" w:styleId="tvhtml">
    <w:name w:val="tv_html"/>
    <w:basedOn w:val="Parastai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rsid w:val="00894C55"/>
  </w:style>
  <w:style w:type="paragraph" w:styleId="Kjene">
    <w:name w:val="footer"/>
    <w:basedOn w:val="Parastais"/>
    <w:link w:val="KjeneRakstz"/>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ai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customStyle="1" w:styleId="Default">
    <w:name w:val="Default"/>
    <w:rsid w:val="00390690"/>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2,Strip,H&amp;P List Paragraph,Saraksta rindkopa1,Normal bullet 2,Bullet list,List Paragraph1,Colorful List - Accent 12,Bullet 1,Bullet Points,Colorful List - Accent 11,Dot pt,F5 List Paragraph,Indicator Text,List Paragraph Char Char Char"/>
    <w:basedOn w:val="Parastais"/>
    <w:link w:val="SarakstarindkopaRakstz"/>
    <w:uiPriority w:val="34"/>
    <w:qFormat/>
    <w:rsid w:val="00390690"/>
    <w:pPr>
      <w:ind w:left="720"/>
      <w:contextualSpacing/>
    </w:pPr>
  </w:style>
  <w:style w:type="character" w:customStyle="1" w:styleId="Bodytext4">
    <w:name w:val="Body text (4)_"/>
    <w:basedOn w:val="Noklusjumarindkopasfonts"/>
    <w:link w:val="Bodytext40"/>
    <w:rsid w:val="00390690"/>
    <w:rPr>
      <w:rFonts w:ascii="Times New Roman" w:eastAsia="Times New Roman" w:hAnsi="Times New Roman"/>
      <w:sz w:val="23"/>
      <w:szCs w:val="23"/>
      <w:shd w:val="clear" w:color="auto" w:fill="FFFFFF"/>
    </w:rPr>
  </w:style>
  <w:style w:type="paragraph" w:customStyle="1" w:styleId="Bodytext40">
    <w:name w:val="Body text (4)"/>
    <w:basedOn w:val="Parastais"/>
    <w:link w:val="Bodytext4"/>
    <w:rsid w:val="00390690"/>
    <w:pPr>
      <w:shd w:val="clear" w:color="auto" w:fill="FFFFFF"/>
      <w:spacing w:after="0" w:line="274" w:lineRule="exact"/>
      <w:ind w:hanging="600"/>
      <w:jc w:val="both"/>
    </w:pPr>
    <w:rPr>
      <w:rFonts w:ascii="Times New Roman" w:eastAsia="Times New Roman" w:hAnsi="Times New Roman"/>
      <w:sz w:val="23"/>
      <w:szCs w:val="23"/>
    </w:rPr>
  </w:style>
  <w:style w:type="paragraph" w:customStyle="1" w:styleId="tv2132">
    <w:name w:val="tv2132"/>
    <w:basedOn w:val="Parastais"/>
    <w:rsid w:val="00390690"/>
    <w:pPr>
      <w:spacing w:after="0" w:line="360" w:lineRule="auto"/>
      <w:ind w:firstLine="300"/>
    </w:pPr>
    <w:rPr>
      <w:rFonts w:ascii="Times New Roman" w:eastAsia="Times New Roman" w:hAnsi="Times New Roman" w:cs="Times New Roman"/>
      <w:color w:val="414142"/>
      <w:sz w:val="20"/>
      <w:szCs w:val="20"/>
      <w:u w:color="000000"/>
      <w:lang w:eastAsia="lv-LV"/>
    </w:rPr>
  </w:style>
  <w:style w:type="character" w:customStyle="1" w:styleId="SarakstarindkopaRakstz">
    <w:name w:val="Saraksta rindkopa Rakstz."/>
    <w:aliases w:val="2 Rakstz.,Strip Rakstz.,H&amp;P List Paragraph Rakstz.,Saraksta rindkopa1 Rakstz.,Normal bullet 2 Rakstz.,Bullet list Rakstz.,List Paragraph1 Rakstz.,Colorful List - Accent 12 Rakstz.,Bullet 1 Rakstz.,Bullet Points Rakstz."/>
    <w:link w:val="Sarakstarindkopa"/>
    <w:uiPriority w:val="34"/>
    <w:qFormat/>
    <w:rsid w:val="00390690"/>
  </w:style>
  <w:style w:type="character" w:styleId="Komentraatsauce">
    <w:name w:val="annotation reference"/>
    <w:basedOn w:val="Noklusjumarindkopasfonts"/>
    <w:uiPriority w:val="99"/>
    <w:semiHidden/>
    <w:unhideWhenUsed/>
    <w:rsid w:val="00604355"/>
    <w:rPr>
      <w:sz w:val="16"/>
      <w:szCs w:val="16"/>
    </w:rPr>
  </w:style>
  <w:style w:type="paragraph" w:styleId="Komentrateksts">
    <w:name w:val="annotation text"/>
    <w:basedOn w:val="Parastais"/>
    <w:link w:val="KomentratekstsRakstz"/>
    <w:uiPriority w:val="99"/>
    <w:unhideWhenUsed/>
    <w:rsid w:val="00604355"/>
    <w:pPr>
      <w:spacing w:line="240" w:lineRule="auto"/>
    </w:pPr>
    <w:rPr>
      <w:sz w:val="20"/>
      <w:szCs w:val="20"/>
    </w:rPr>
  </w:style>
  <w:style w:type="character" w:customStyle="1" w:styleId="KomentratekstsRakstz">
    <w:name w:val="Komentāra teksts Rakstz."/>
    <w:basedOn w:val="Noklusjumarindkopasfonts"/>
    <w:link w:val="Komentrateksts"/>
    <w:uiPriority w:val="99"/>
    <w:rsid w:val="00604355"/>
    <w:rPr>
      <w:sz w:val="20"/>
      <w:szCs w:val="20"/>
    </w:rPr>
  </w:style>
  <w:style w:type="paragraph" w:styleId="Komentratma">
    <w:name w:val="annotation subject"/>
    <w:basedOn w:val="Komentrateksts"/>
    <w:next w:val="Komentrateksts"/>
    <w:link w:val="KomentratmaRakstz"/>
    <w:uiPriority w:val="99"/>
    <w:semiHidden/>
    <w:unhideWhenUsed/>
    <w:rsid w:val="00604355"/>
    <w:rPr>
      <w:b/>
      <w:bCs/>
    </w:rPr>
  </w:style>
  <w:style w:type="character" w:customStyle="1" w:styleId="KomentratmaRakstz">
    <w:name w:val="Komentāra tēma Rakstz."/>
    <w:basedOn w:val="KomentratekstsRakstz"/>
    <w:link w:val="Komentratma"/>
    <w:uiPriority w:val="99"/>
    <w:semiHidden/>
    <w:rsid w:val="00604355"/>
    <w:rPr>
      <w:b/>
      <w:bCs/>
      <w:sz w:val="20"/>
      <w:szCs w:val="20"/>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uiPriority w:val="99"/>
    <w:qFormat/>
    <w:rsid w:val="00325911"/>
    <w:pPr>
      <w:spacing w:after="0" w:line="240" w:lineRule="auto"/>
    </w:pPr>
    <w:rPr>
      <w:rFonts w:ascii="Times New Roman" w:eastAsia="Times New Roman" w:hAnsi="Times New Roman" w:cs="Times New Roman"/>
      <w:sz w:val="20"/>
      <w:szCs w:val="20"/>
      <w:lang w:val="en-AU" w:eastAsia="lv-LV"/>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325911"/>
    <w:rPr>
      <w:rFonts w:ascii="Times New Roman" w:eastAsia="Times New Roman" w:hAnsi="Times New Roman" w:cs="Times New Roman"/>
      <w:sz w:val="20"/>
      <w:szCs w:val="20"/>
      <w:lang w:val="en-AU" w:eastAsia="lv-LV"/>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qFormat/>
    <w:rsid w:val="00325911"/>
    <w:rPr>
      <w:vertAlign w:val="superscript"/>
    </w:rPr>
  </w:style>
  <w:style w:type="character" w:customStyle="1" w:styleId="cspklasifikatorscodename">
    <w:name w:val="csp_klasifikators_code_name"/>
    <w:rsid w:val="00325911"/>
  </w:style>
  <w:style w:type="paragraph" w:customStyle="1" w:styleId="CharCharCharChar">
    <w:name w:val="Char Char Char Char"/>
    <w:aliases w:val="Char2"/>
    <w:basedOn w:val="Parastais"/>
    <w:next w:val="Parastais"/>
    <w:link w:val="Vresatsauce"/>
    <w:uiPriority w:val="99"/>
    <w:rsid w:val="00325911"/>
    <w:pPr>
      <w:spacing w:line="240" w:lineRule="exact"/>
      <w:jc w:val="both"/>
      <w:textAlignment w:val="baseline"/>
    </w:pPr>
    <w:rPr>
      <w:vertAlign w:val="superscript"/>
    </w:rPr>
  </w:style>
  <w:style w:type="paragraph" w:customStyle="1" w:styleId="doc-ti">
    <w:name w:val="doc-ti"/>
    <w:basedOn w:val="Parastais"/>
    <w:uiPriority w:val="99"/>
    <w:rsid w:val="00D4754E"/>
    <w:pPr>
      <w:spacing w:before="238" w:after="119" w:line="240" w:lineRule="auto"/>
      <w:jc w:val="center"/>
    </w:pPr>
    <w:rPr>
      <w:rFonts w:ascii="Times New Roman" w:eastAsia="Times New Roman" w:hAnsi="Times New Roman" w:cs="Times New Roman"/>
      <w:b/>
      <w:bCs/>
      <w:sz w:val="24"/>
      <w:szCs w:val="24"/>
      <w:lang w:eastAsia="lv-LV"/>
    </w:rPr>
  </w:style>
  <w:style w:type="character" w:customStyle="1" w:styleId="italic">
    <w:name w:val="italic"/>
    <w:basedOn w:val="Noklusjumarindkopasfonts"/>
    <w:rsid w:val="00D4754E"/>
    <w:rPr>
      <w:i/>
      <w:iCs/>
    </w:rPr>
  </w:style>
  <w:style w:type="paragraph" w:styleId="ParastaisWeb">
    <w:name w:val="Normal (Web)"/>
    <w:basedOn w:val="Parastais"/>
    <w:uiPriority w:val="99"/>
    <w:unhideWhenUsed/>
    <w:rsid w:val="00001DE7"/>
    <w:pPr>
      <w:spacing w:after="0" w:line="240" w:lineRule="auto"/>
    </w:pPr>
    <w:rPr>
      <w:rFonts w:ascii="Times New Roman" w:eastAsia="Times New Roman" w:hAnsi="Times New Roman" w:cs="Times New Roman"/>
      <w:sz w:val="24"/>
      <w:szCs w:val="24"/>
      <w:lang w:eastAsia="lv-LV"/>
    </w:rPr>
  </w:style>
  <w:style w:type="paragraph" w:styleId="Vienkrsteksts">
    <w:name w:val="Plain Text"/>
    <w:basedOn w:val="Parastais"/>
    <w:link w:val="VienkrstekstsRakstz"/>
    <w:uiPriority w:val="99"/>
    <w:unhideWhenUsed/>
    <w:rsid w:val="00ED2BAC"/>
    <w:pPr>
      <w:spacing w:after="0" w:line="240" w:lineRule="auto"/>
    </w:pPr>
    <w:rPr>
      <w:rFonts w:ascii="Times New Roman" w:eastAsia="Calibri" w:hAnsi="Times New Roman" w:cs="Times New Roman"/>
      <w:sz w:val="28"/>
      <w:szCs w:val="21"/>
    </w:rPr>
  </w:style>
  <w:style w:type="character" w:customStyle="1" w:styleId="VienkrstekstsRakstz">
    <w:name w:val="Vienkāršs teksts Rakstz."/>
    <w:basedOn w:val="Noklusjumarindkopasfonts"/>
    <w:link w:val="Vienkrsteksts"/>
    <w:uiPriority w:val="99"/>
    <w:rsid w:val="00ED2BAC"/>
    <w:rPr>
      <w:rFonts w:ascii="Times New Roman" w:eastAsia="Calibri" w:hAnsi="Times New Roman" w:cs="Times New Roman"/>
      <w:sz w:val="28"/>
      <w:szCs w:val="21"/>
    </w:rPr>
  </w:style>
  <w:style w:type="paragraph" w:customStyle="1" w:styleId="naiskr">
    <w:name w:val="naiskr"/>
    <w:basedOn w:val="Parastais"/>
    <w:rsid w:val="004233F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ais"/>
    <w:rsid w:val="00A648FD"/>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2F4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2"/>
    <w:basedOn w:val="Noklusjumarindkopasfonts"/>
    <w:rsid w:val="00C15FEA"/>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rPr>
  </w:style>
  <w:style w:type="character" w:customStyle="1" w:styleId="Bodytext">
    <w:name w:val="Body text_"/>
    <w:basedOn w:val="Noklusjumarindkopasfonts"/>
    <w:link w:val="BodyText1"/>
    <w:locked/>
    <w:rsid w:val="006D6E14"/>
    <w:rPr>
      <w:rFonts w:ascii="Times New Roman" w:eastAsia="Times New Roman" w:hAnsi="Times New Roman" w:cs="Times New Roman"/>
      <w:sz w:val="23"/>
      <w:szCs w:val="23"/>
      <w:shd w:val="clear" w:color="auto" w:fill="FFFFFF"/>
    </w:rPr>
  </w:style>
  <w:style w:type="paragraph" w:customStyle="1" w:styleId="BodyText1">
    <w:name w:val="Body Text1"/>
    <w:basedOn w:val="Parastais"/>
    <w:link w:val="Bodytext"/>
    <w:rsid w:val="006D6E14"/>
    <w:pPr>
      <w:shd w:val="clear" w:color="auto" w:fill="FFFFFF"/>
      <w:spacing w:after="1380" w:line="274" w:lineRule="exact"/>
      <w:ind w:hanging="860"/>
      <w:jc w:val="center"/>
    </w:pPr>
    <w:rPr>
      <w:rFonts w:ascii="Times New Roman" w:eastAsia="Times New Roman" w:hAnsi="Times New Roman" w:cs="Times New Roman"/>
      <w:sz w:val="23"/>
      <w:szCs w:val="23"/>
    </w:rPr>
  </w:style>
  <w:style w:type="paragraph" w:styleId="Pamatteksts">
    <w:name w:val="Body Text"/>
    <w:basedOn w:val="Parastais"/>
    <w:link w:val="PamattekstsRakstz"/>
    <w:uiPriority w:val="99"/>
    <w:rsid w:val="00A53DC6"/>
    <w:pPr>
      <w:spacing w:after="0" w:line="240" w:lineRule="auto"/>
      <w:jc w:val="center"/>
    </w:pPr>
    <w:rPr>
      <w:rFonts w:ascii="Times New Roman" w:eastAsia="Times New Roman" w:hAnsi="Times New Roman" w:cs="Times New Roman"/>
      <w:b/>
      <w:sz w:val="28"/>
      <w:szCs w:val="20"/>
    </w:rPr>
  </w:style>
  <w:style w:type="character" w:customStyle="1" w:styleId="PamattekstsRakstz">
    <w:name w:val="Pamatteksts Rakstz."/>
    <w:basedOn w:val="Noklusjumarindkopasfonts"/>
    <w:link w:val="Pamatteksts"/>
    <w:uiPriority w:val="99"/>
    <w:rsid w:val="00A53DC6"/>
    <w:rPr>
      <w:rFonts w:ascii="Times New Roman" w:eastAsia="Times New Roman" w:hAnsi="Times New Roman" w:cs="Times New Roman"/>
      <w:b/>
      <w:sz w:val="28"/>
      <w:szCs w:val="20"/>
    </w:rPr>
  </w:style>
  <w:style w:type="paragraph" w:styleId="Prskatjums">
    <w:name w:val="Revision"/>
    <w:hidden/>
    <w:uiPriority w:val="99"/>
    <w:semiHidden/>
    <w:rsid w:val="007D1379"/>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63464582">
      <w:bodyDiv w:val="1"/>
      <w:marLeft w:val="0"/>
      <w:marRight w:val="0"/>
      <w:marTop w:val="0"/>
      <w:marBottom w:val="0"/>
      <w:divBdr>
        <w:top w:val="none" w:sz="0" w:space="0" w:color="auto"/>
        <w:left w:val="none" w:sz="0" w:space="0" w:color="auto"/>
        <w:bottom w:val="none" w:sz="0" w:space="0" w:color="auto"/>
        <w:right w:val="none" w:sz="0" w:space="0" w:color="auto"/>
      </w:divBdr>
      <w:divsChild>
        <w:div w:id="1177575294">
          <w:marLeft w:val="0"/>
          <w:marRight w:val="0"/>
          <w:marTop w:val="0"/>
          <w:marBottom w:val="0"/>
          <w:divBdr>
            <w:top w:val="none" w:sz="0" w:space="0" w:color="auto"/>
            <w:left w:val="none" w:sz="0" w:space="0" w:color="auto"/>
            <w:bottom w:val="none" w:sz="0" w:space="0" w:color="auto"/>
            <w:right w:val="none" w:sz="0" w:space="0" w:color="auto"/>
          </w:divBdr>
          <w:divsChild>
            <w:div w:id="33819687">
              <w:marLeft w:val="0"/>
              <w:marRight w:val="0"/>
              <w:marTop w:val="0"/>
              <w:marBottom w:val="0"/>
              <w:divBdr>
                <w:top w:val="none" w:sz="0" w:space="0" w:color="auto"/>
                <w:left w:val="none" w:sz="0" w:space="0" w:color="auto"/>
                <w:bottom w:val="none" w:sz="0" w:space="0" w:color="auto"/>
                <w:right w:val="none" w:sz="0" w:space="0" w:color="auto"/>
              </w:divBdr>
              <w:divsChild>
                <w:div w:id="536813727">
                  <w:marLeft w:val="0"/>
                  <w:marRight w:val="0"/>
                  <w:marTop w:val="0"/>
                  <w:marBottom w:val="0"/>
                  <w:divBdr>
                    <w:top w:val="none" w:sz="0" w:space="0" w:color="auto"/>
                    <w:left w:val="none" w:sz="0" w:space="0" w:color="auto"/>
                    <w:bottom w:val="none" w:sz="0" w:space="0" w:color="auto"/>
                    <w:right w:val="none" w:sz="0" w:space="0" w:color="auto"/>
                  </w:divBdr>
                  <w:divsChild>
                    <w:div w:id="513808186">
                      <w:marLeft w:val="0"/>
                      <w:marRight w:val="0"/>
                      <w:marTop w:val="0"/>
                      <w:marBottom w:val="0"/>
                      <w:divBdr>
                        <w:top w:val="none" w:sz="0" w:space="0" w:color="auto"/>
                        <w:left w:val="none" w:sz="0" w:space="0" w:color="auto"/>
                        <w:bottom w:val="none" w:sz="0" w:space="0" w:color="auto"/>
                        <w:right w:val="none" w:sz="0" w:space="0" w:color="auto"/>
                      </w:divBdr>
                      <w:divsChild>
                        <w:div w:id="580604858">
                          <w:marLeft w:val="0"/>
                          <w:marRight w:val="0"/>
                          <w:marTop w:val="0"/>
                          <w:marBottom w:val="0"/>
                          <w:divBdr>
                            <w:top w:val="none" w:sz="0" w:space="0" w:color="auto"/>
                            <w:left w:val="none" w:sz="0" w:space="0" w:color="auto"/>
                            <w:bottom w:val="none" w:sz="0" w:space="0" w:color="auto"/>
                            <w:right w:val="none" w:sz="0" w:space="0" w:color="auto"/>
                          </w:divBdr>
                          <w:divsChild>
                            <w:div w:id="14327784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372586">
      <w:bodyDiv w:val="1"/>
      <w:marLeft w:val="0"/>
      <w:marRight w:val="0"/>
      <w:marTop w:val="0"/>
      <w:marBottom w:val="0"/>
      <w:divBdr>
        <w:top w:val="none" w:sz="0" w:space="0" w:color="auto"/>
        <w:left w:val="none" w:sz="0" w:space="0" w:color="auto"/>
        <w:bottom w:val="none" w:sz="0" w:space="0" w:color="auto"/>
        <w:right w:val="none" w:sz="0" w:space="0" w:color="auto"/>
      </w:divBdr>
    </w:div>
    <w:div w:id="541866315">
      <w:bodyDiv w:val="1"/>
      <w:marLeft w:val="386"/>
      <w:marRight w:val="386"/>
      <w:marTop w:val="0"/>
      <w:marBottom w:val="0"/>
      <w:divBdr>
        <w:top w:val="none" w:sz="0" w:space="0" w:color="auto"/>
        <w:left w:val="none" w:sz="0" w:space="0" w:color="auto"/>
        <w:bottom w:val="none" w:sz="0" w:space="0" w:color="auto"/>
        <w:right w:val="none" w:sz="0" w:space="0" w:color="auto"/>
      </w:divBdr>
      <w:divsChild>
        <w:div w:id="316106867">
          <w:marLeft w:val="0"/>
          <w:marRight w:val="0"/>
          <w:marTop w:val="0"/>
          <w:marBottom w:val="0"/>
          <w:divBdr>
            <w:top w:val="none" w:sz="0" w:space="0" w:color="auto"/>
            <w:left w:val="none" w:sz="0" w:space="0" w:color="auto"/>
            <w:bottom w:val="none" w:sz="0" w:space="0" w:color="auto"/>
            <w:right w:val="none" w:sz="0" w:space="0" w:color="auto"/>
          </w:divBdr>
        </w:div>
      </w:divsChild>
    </w:div>
    <w:div w:id="583534096">
      <w:bodyDiv w:val="1"/>
      <w:marLeft w:val="0"/>
      <w:marRight w:val="0"/>
      <w:marTop w:val="0"/>
      <w:marBottom w:val="0"/>
      <w:divBdr>
        <w:top w:val="none" w:sz="0" w:space="0" w:color="auto"/>
        <w:left w:val="none" w:sz="0" w:space="0" w:color="auto"/>
        <w:bottom w:val="none" w:sz="0" w:space="0" w:color="auto"/>
        <w:right w:val="none" w:sz="0" w:space="0" w:color="auto"/>
      </w:divBdr>
    </w:div>
    <w:div w:id="1325162212">
      <w:bodyDiv w:val="1"/>
      <w:marLeft w:val="0"/>
      <w:marRight w:val="0"/>
      <w:marTop w:val="0"/>
      <w:marBottom w:val="0"/>
      <w:divBdr>
        <w:top w:val="none" w:sz="0" w:space="0" w:color="auto"/>
        <w:left w:val="none" w:sz="0" w:space="0" w:color="auto"/>
        <w:bottom w:val="none" w:sz="0" w:space="0" w:color="auto"/>
        <w:right w:val="none" w:sz="0" w:space="0" w:color="auto"/>
      </w:divBdr>
    </w:div>
    <w:div w:id="134860022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7090855">
      <w:bodyDiv w:val="1"/>
      <w:marLeft w:val="0"/>
      <w:marRight w:val="0"/>
      <w:marTop w:val="0"/>
      <w:marBottom w:val="0"/>
      <w:divBdr>
        <w:top w:val="none" w:sz="0" w:space="0" w:color="auto"/>
        <w:left w:val="none" w:sz="0" w:space="0" w:color="auto"/>
        <w:bottom w:val="none" w:sz="0" w:space="0" w:color="auto"/>
        <w:right w:val="none" w:sz="0" w:space="0" w:color="auto"/>
      </w:divBdr>
    </w:div>
    <w:div w:id="1442189806">
      <w:bodyDiv w:val="1"/>
      <w:marLeft w:val="0"/>
      <w:marRight w:val="0"/>
      <w:marTop w:val="0"/>
      <w:marBottom w:val="0"/>
      <w:divBdr>
        <w:top w:val="none" w:sz="0" w:space="0" w:color="auto"/>
        <w:left w:val="none" w:sz="0" w:space="0" w:color="auto"/>
        <w:bottom w:val="none" w:sz="0" w:space="0" w:color="auto"/>
        <w:right w:val="none" w:sz="0" w:space="0" w:color="auto"/>
      </w:divBdr>
    </w:div>
    <w:div w:id="177721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gov.lv/lv/nozares_politika/energoefektivitate_un_siltumapgade/energoefektivitate/energijas_ietaupijumu_zinosana/" TargetMode="External"/><Relationship Id="rId13" Type="http://schemas.openxmlformats.org/officeDocument/2006/relationships/hyperlink" Target="http://eur-lex.europa.eu/eli/reg/2014/651/oj/?locale=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eli/reg/2014/651/oj/?locale=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nda.Krumina@k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651/oj/?locale=LV" TargetMode="External"/><Relationship Id="rId5" Type="http://schemas.openxmlformats.org/officeDocument/2006/relationships/webSettings" Target="webSettings.xml"/><Relationship Id="rId15" Type="http://schemas.openxmlformats.org/officeDocument/2006/relationships/hyperlink" Target="http://eur-lex.europa.eu/eli/reg/2014/702/oj/?locale=LV" TargetMode="External"/><Relationship Id="rId10" Type="http://schemas.openxmlformats.org/officeDocument/2006/relationships/hyperlink" Target="http://eur-lex.europa.eu/eli/reg/2014/651/oj/?locale=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ur-lex.europa.eu/eli/reg/2014/480/oj/?locale=LV" TargetMode="External"/><Relationship Id="rId14" Type="http://schemas.openxmlformats.org/officeDocument/2006/relationships/hyperlink" Target="http://eur-lex.europa.eu/eli/reg/2014/651/oj/?locale=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uriserv:OJ.C_.2016.262.01.0001.01.LAV&amp;toc=OJ:C:2016:262: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B9C6B-D937-4B13-8627-0527A46E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35</Pages>
  <Words>34492</Words>
  <Characters>19661</Characters>
  <Application>Microsoft Office Word</Application>
  <DocSecurity>0</DocSecurity>
  <Lines>163</Lines>
  <Paragraphs>108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Ministru kabineta noteikumu projekts „Grozījumi Ministru kabineta 2017.gada 24.oktobra noteikumos Nr.635 „Darbības programmas „Izaugsme un nodarbinātība” prioritārā virziena „Vides aizsardzības un resursu izmantošanas efektivitāte” 5.5.1.specifiskā atbals</vt:lpstr>
    </vt:vector>
  </TitlesOfParts>
  <Company>Iestādes nosaukums</Company>
  <LinksUpToDate>false</LinksUpToDate>
  <CharactersWithSpaces>54045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Anotācija</dc:subject>
  <dc:creator>Linda Krūmiņa</dc:creator>
  <dc:description>67330319, Linda.Krumina@km.gov.lv</dc:description>
  <cp:lastModifiedBy>LindaK</cp:lastModifiedBy>
  <cp:revision>83</cp:revision>
  <cp:lastPrinted>2019-12-03T14:20:00Z</cp:lastPrinted>
  <dcterms:created xsi:type="dcterms:W3CDTF">2019-12-05T08:28:00Z</dcterms:created>
  <dcterms:modified xsi:type="dcterms:W3CDTF">2020-02-12T11:34:00Z</dcterms:modified>
</cp:coreProperties>
</file>