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63" w:rsidRDefault="00181263" w:rsidP="00181263">
      <w:pPr>
        <w:widowControl w:val="0"/>
        <w:spacing w:after="0" w:line="360" w:lineRule="auto"/>
        <w:rPr>
          <w:rFonts w:ascii="Times New Roman" w:hAnsi="Times New Roman" w:cs="Times New Roman"/>
          <w:sz w:val="24"/>
          <w:szCs w:val="24"/>
        </w:rPr>
      </w:pPr>
    </w:p>
    <w:p w:rsidR="00AC01CF" w:rsidRDefault="00986502" w:rsidP="00181263">
      <w:pPr>
        <w:widowControl w:val="0"/>
        <w:spacing w:after="0" w:line="360" w:lineRule="auto"/>
        <w:rPr>
          <w:rFonts w:ascii="Times New Roman" w:hAnsi="Times New Roman" w:cs="Times New Roman"/>
          <w:sz w:val="24"/>
          <w:szCs w:val="24"/>
        </w:rPr>
      </w:pPr>
      <w:r w:rsidRPr="006E788F">
        <w:rPr>
          <w:noProof/>
          <w:lang w:eastAsia="lv-LV"/>
        </w:rPr>
        <w:drawing>
          <wp:anchor distT="0" distB="0" distL="114300" distR="114300" simplePos="0" relativeHeight="251659264" behindDoc="1" locked="0" layoutInCell="1" allowOverlap="1">
            <wp:simplePos x="0" y="0"/>
            <wp:positionH relativeFrom="margin">
              <wp:posOffset>358775</wp:posOffset>
            </wp:positionH>
            <wp:positionV relativeFrom="paragraph">
              <wp:posOffset>55880</wp:posOffset>
            </wp:positionV>
            <wp:extent cx="1414780" cy="902335"/>
            <wp:effectExtent l="0" t="0" r="0" b="0"/>
            <wp:wrapTight wrapText="bothSides">
              <wp:wrapPolygon edited="0">
                <wp:start x="0" y="0"/>
                <wp:lineTo x="0" y="20977"/>
                <wp:lineTo x="21232" y="20977"/>
                <wp:lineTo x="212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780" cy="902335"/>
                    </a:xfrm>
                    <a:prstGeom prst="rect">
                      <a:avLst/>
                    </a:prstGeom>
                    <a:noFill/>
                    <a:ln>
                      <a:noFill/>
                    </a:ln>
                  </pic:spPr>
                </pic:pic>
              </a:graphicData>
            </a:graphic>
          </wp:anchor>
        </w:drawing>
      </w:r>
    </w:p>
    <w:p w:rsidR="00086FFE" w:rsidRPr="00A02638" w:rsidRDefault="00086FFE" w:rsidP="00086FFE">
      <w:pPr>
        <w:widowControl w:val="0"/>
        <w:spacing w:after="0" w:line="360" w:lineRule="auto"/>
        <w:jc w:val="right"/>
        <w:rPr>
          <w:rFonts w:ascii="Times New Roman" w:hAnsi="Times New Roman" w:cs="Times New Roman"/>
          <w:b/>
          <w:sz w:val="24"/>
          <w:szCs w:val="24"/>
        </w:rPr>
      </w:pPr>
      <w:r w:rsidRPr="00A02638">
        <w:rPr>
          <w:rFonts w:ascii="Times New Roman" w:hAnsi="Times New Roman" w:cs="Times New Roman"/>
          <w:b/>
          <w:sz w:val="24"/>
          <w:szCs w:val="24"/>
        </w:rPr>
        <w:t>Līguma Nr. _____</w:t>
      </w:r>
      <w:r>
        <w:rPr>
          <w:rFonts w:ascii="Times New Roman" w:hAnsi="Times New Roman" w:cs="Times New Roman"/>
          <w:b/>
          <w:sz w:val="24"/>
          <w:szCs w:val="24"/>
        </w:rPr>
        <w:t>__________</w:t>
      </w:r>
    </w:p>
    <w:p w:rsidR="00086FFE" w:rsidRPr="00A02638" w:rsidRDefault="00086FFE" w:rsidP="00086FFE">
      <w:pPr>
        <w:widowControl w:val="0"/>
        <w:spacing w:after="0" w:line="360" w:lineRule="auto"/>
        <w:ind w:left="5760" w:firstLine="720"/>
        <w:jc w:val="right"/>
        <w:rPr>
          <w:rFonts w:ascii="Times New Roman" w:hAnsi="Times New Roman" w:cs="Times New Roman"/>
          <w:b/>
          <w:sz w:val="24"/>
          <w:szCs w:val="24"/>
        </w:rPr>
      </w:pPr>
      <w:r>
        <w:rPr>
          <w:rFonts w:ascii="Times New Roman" w:hAnsi="Times New Roman" w:cs="Times New Roman"/>
          <w:b/>
          <w:sz w:val="24"/>
          <w:szCs w:val="24"/>
        </w:rPr>
        <w:t>3. p</w:t>
      </w:r>
      <w:r w:rsidRPr="00A02638">
        <w:rPr>
          <w:rFonts w:ascii="Times New Roman" w:hAnsi="Times New Roman" w:cs="Times New Roman"/>
          <w:b/>
          <w:sz w:val="24"/>
          <w:szCs w:val="24"/>
        </w:rPr>
        <w:t>ielikums</w:t>
      </w:r>
    </w:p>
    <w:p w:rsidR="00AC01CF" w:rsidRDefault="00AC01CF" w:rsidP="00AC01CF">
      <w:pPr>
        <w:widowControl w:val="0"/>
        <w:spacing w:after="0" w:line="240" w:lineRule="auto"/>
        <w:jc w:val="right"/>
        <w:rPr>
          <w:rFonts w:ascii="Times New Roman" w:hAnsi="Times New Roman" w:cs="Times New Roman"/>
          <w:sz w:val="24"/>
          <w:szCs w:val="24"/>
        </w:rPr>
      </w:pPr>
    </w:p>
    <w:p w:rsidR="00AC01CF" w:rsidRDefault="00AC01CF" w:rsidP="00AC01CF">
      <w:pPr>
        <w:widowControl w:val="0"/>
        <w:spacing w:after="0" w:line="240" w:lineRule="auto"/>
        <w:jc w:val="right"/>
        <w:rPr>
          <w:sz w:val="24"/>
          <w:szCs w:val="24"/>
        </w:rPr>
      </w:pPr>
    </w:p>
    <w:p w:rsidR="00181263" w:rsidRDefault="00181263" w:rsidP="00AC01CF">
      <w:pPr>
        <w:widowControl w:val="0"/>
        <w:spacing w:after="0" w:line="240" w:lineRule="auto"/>
        <w:jc w:val="right"/>
        <w:rPr>
          <w:sz w:val="24"/>
          <w:szCs w:val="24"/>
        </w:rPr>
      </w:pPr>
      <w:bookmarkStart w:id="0" w:name="_GoBack"/>
      <w:bookmarkEnd w:id="0"/>
    </w:p>
    <w:p w:rsidR="00AC01CF" w:rsidRDefault="00E80B7C" w:rsidP="00C611B6">
      <w:pPr>
        <w:widowControl w:val="0"/>
        <w:spacing w:after="0" w:line="360" w:lineRule="auto"/>
        <w:jc w:val="center"/>
        <w:rPr>
          <w:rFonts w:ascii="Times New Roman" w:eastAsia="Times New Roman" w:hAnsi="Times New Roman" w:cs="Times New Roman"/>
          <w:b/>
          <w:bCs/>
          <w:sz w:val="28"/>
          <w:szCs w:val="28"/>
        </w:rPr>
      </w:pPr>
      <w:r w:rsidRPr="002F0646">
        <w:rPr>
          <w:rFonts w:ascii="Times New Roman" w:eastAsia="Times New Roman" w:hAnsi="Times New Roman" w:cs="Times New Roman"/>
          <w:b/>
          <w:bCs/>
          <w:sz w:val="28"/>
          <w:szCs w:val="28"/>
        </w:rPr>
        <w:t>Iekšējās drošības fonda un Patvēruma, migrācijas un integrācijas fonda</w:t>
      </w:r>
      <w:r w:rsidR="00AB3961" w:rsidRPr="002F0646">
        <w:rPr>
          <w:rFonts w:ascii="Times New Roman" w:eastAsia="Times New Roman" w:hAnsi="Times New Roman" w:cs="Times New Roman"/>
          <w:b/>
          <w:bCs/>
          <w:sz w:val="28"/>
          <w:szCs w:val="28"/>
        </w:rPr>
        <w:t xml:space="preserve"> </w:t>
      </w:r>
    </w:p>
    <w:p w:rsidR="00E80B7C" w:rsidRPr="002F0646" w:rsidRDefault="00AB3961" w:rsidP="00C611B6">
      <w:pPr>
        <w:widowControl w:val="0"/>
        <w:spacing w:after="0" w:line="360" w:lineRule="auto"/>
        <w:jc w:val="center"/>
        <w:rPr>
          <w:sz w:val="28"/>
          <w:szCs w:val="28"/>
        </w:rPr>
      </w:pPr>
      <w:r w:rsidRPr="002F0646">
        <w:rPr>
          <w:rFonts w:ascii="Times New Roman" w:eastAsia="Times New Roman" w:hAnsi="Times New Roman" w:cs="Times New Roman"/>
          <w:b/>
          <w:bCs/>
          <w:sz w:val="28"/>
          <w:szCs w:val="28"/>
        </w:rPr>
        <w:t>2014.-2020. gada plānošanas perioda</w:t>
      </w:r>
    </w:p>
    <w:p w:rsidR="00E80B7C" w:rsidRPr="002F0646" w:rsidRDefault="00D542BF" w:rsidP="00C611B6">
      <w:pPr>
        <w:widowControl w:val="0"/>
        <w:spacing w:after="0" w:line="360" w:lineRule="auto"/>
        <w:jc w:val="center"/>
        <w:outlineLvl w:val="0"/>
        <w:rPr>
          <w:rFonts w:ascii="Times New Roman" w:eastAsia="Times New Roman" w:hAnsi="Times New Roman" w:cs="Times New Roman"/>
          <w:b/>
          <w:bCs/>
          <w:sz w:val="28"/>
          <w:szCs w:val="28"/>
        </w:rPr>
      </w:pPr>
      <w:r w:rsidRPr="002F0646">
        <w:rPr>
          <w:rFonts w:ascii="Times New Roman" w:eastAsia="Times New Roman" w:hAnsi="Times New Roman" w:cs="Times New Roman"/>
          <w:b/>
          <w:bCs/>
          <w:sz w:val="28"/>
          <w:szCs w:val="28"/>
        </w:rPr>
        <w:t>IZMAKSU</w:t>
      </w:r>
      <w:r w:rsidR="00E80B7C" w:rsidRPr="002F0646">
        <w:rPr>
          <w:rFonts w:ascii="Times New Roman" w:eastAsia="Times New Roman" w:hAnsi="Times New Roman" w:cs="Times New Roman"/>
          <w:b/>
          <w:bCs/>
          <w:sz w:val="28"/>
          <w:szCs w:val="28"/>
        </w:rPr>
        <w:t xml:space="preserve"> ATTIECINĀMĪBAS NOSACĪJUMI</w:t>
      </w:r>
    </w:p>
    <w:p w:rsidR="00E80B7C" w:rsidRPr="00854E7B" w:rsidRDefault="00E80B7C" w:rsidP="00C611B6">
      <w:pPr>
        <w:widowControl w:val="0"/>
        <w:spacing w:after="0" w:line="360" w:lineRule="auto"/>
        <w:ind w:hanging="567"/>
        <w:jc w:val="center"/>
        <w:outlineLvl w:val="0"/>
        <w:rPr>
          <w:rFonts w:ascii="Times New Roman" w:eastAsia="Times New Roman" w:hAnsi="Times New Roman" w:cs="Times New Roman"/>
          <w:b/>
          <w:bCs/>
          <w:sz w:val="24"/>
          <w:szCs w:val="24"/>
        </w:rPr>
      </w:pPr>
    </w:p>
    <w:p w:rsidR="002F0646" w:rsidRPr="00C611B6" w:rsidRDefault="00E80B7C" w:rsidP="00C611B6">
      <w:pPr>
        <w:pStyle w:val="Sarakstarindkopa"/>
        <w:widowControl w:val="0"/>
        <w:numPr>
          <w:ilvl w:val="0"/>
          <w:numId w:val="1"/>
        </w:numPr>
        <w:tabs>
          <w:tab w:val="left" w:pos="284"/>
        </w:tabs>
        <w:spacing w:after="0" w:line="360" w:lineRule="auto"/>
        <w:ind w:left="0" w:firstLine="0"/>
        <w:jc w:val="center"/>
        <w:outlineLvl w:val="0"/>
        <w:rPr>
          <w:rFonts w:ascii="Times New Roman" w:eastAsia="Times New Roman" w:hAnsi="Times New Roman" w:cs="Times New Roman"/>
          <w:b/>
          <w:bCs/>
          <w:sz w:val="28"/>
          <w:szCs w:val="28"/>
        </w:rPr>
      </w:pPr>
      <w:r w:rsidRPr="00854E7B">
        <w:rPr>
          <w:rFonts w:ascii="Times New Roman" w:eastAsia="Times New Roman" w:hAnsi="Times New Roman" w:cs="Times New Roman"/>
          <w:b/>
          <w:bCs/>
          <w:sz w:val="28"/>
          <w:szCs w:val="28"/>
        </w:rPr>
        <w:t>Pamatprincipi</w:t>
      </w:r>
    </w:p>
    <w:p w:rsidR="00E80B7C" w:rsidRPr="00854E7B" w:rsidRDefault="006D6E8E"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Uz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rojektu attiecināmi ir izdevumi, kas radušies </w:t>
      </w:r>
      <w:r w:rsidR="00C1126B">
        <w:rPr>
          <w:rFonts w:ascii="Times New Roman" w:eastAsia="Times New Roman" w:hAnsi="Times New Roman" w:cs="Times New Roman"/>
          <w:bCs/>
          <w:sz w:val="24"/>
          <w:szCs w:val="24"/>
        </w:rPr>
        <w:t>F</w:t>
      </w:r>
      <w:r w:rsidRPr="00854E7B">
        <w:rPr>
          <w:rFonts w:ascii="Times New Roman" w:eastAsia="Times New Roman" w:hAnsi="Times New Roman" w:cs="Times New Roman"/>
          <w:bCs/>
          <w:sz w:val="24"/>
          <w:szCs w:val="24"/>
        </w:rPr>
        <w:t>inansējuma saņēmējam vai tā sadarbības partnerim</w:t>
      </w:r>
      <w:r w:rsidR="006F7D98" w:rsidRPr="00854E7B">
        <w:rPr>
          <w:rFonts w:ascii="Times New Roman" w:eastAsia="Times New Roman" w:hAnsi="Times New Roman" w:cs="Times New Roman"/>
          <w:bCs/>
          <w:sz w:val="24"/>
          <w:szCs w:val="24"/>
        </w:rPr>
        <w:t xml:space="preserve"> (turpmāk – </w:t>
      </w:r>
      <w:r w:rsidR="00C1126B">
        <w:rPr>
          <w:rFonts w:ascii="Times New Roman" w:eastAsia="Times New Roman" w:hAnsi="Times New Roman" w:cs="Times New Roman"/>
          <w:bCs/>
          <w:sz w:val="24"/>
          <w:szCs w:val="24"/>
        </w:rPr>
        <w:t>F</w:t>
      </w:r>
      <w:r w:rsidR="006F7D98" w:rsidRPr="00854E7B">
        <w:rPr>
          <w:rFonts w:ascii="Times New Roman" w:eastAsia="Times New Roman" w:hAnsi="Times New Roman" w:cs="Times New Roman"/>
          <w:bCs/>
          <w:sz w:val="24"/>
          <w:szCs w:val="24"/>
        </w:rPr>
        <w:t>inansējuma saņēmējs)</w:t>
      </w:r>
      <w:r w:rsidR="00232500" w:rsidRPr="00854E7B">
        <w:rPr>
          <w:rFonts w:ascii="Times New Roman" w:eastAsia="Times New Roman" w:hAnsi="Times New Roman" w:cs="Times New Roman"/>
          <w:bCs/>
          <w:sz w:val="24"/>
          <w:szCs w:val="24"/>
        </w:rPr>
        <w:t>,</w:t>
      </w:r>
      <w:r w:rsidRPr="00854E7B">
        <w:rPr>
          <w:rFonts w:ascii="Times New Roman" w:eastAsia="Times New Roman" w:hAnsi="Times New Roman" w:cs="Times New Roman"/>
          <w:bCs/>
          <w:sz w:val="24"/>
          <w:szCs w:val="24"/>
        </w:rPr>
        <w:t xml:space="preserve"> un tie ir</w:t>
      </w:r>
      <w:r w:rsidR="00B52774" w:rsidRPr="00854E7B">
        <w:rPr>
          <w:rFonts w:ascii="Times New Roman" w:eastAsia="Times New Roman" w:hAnsi="Times New Roman" w:cs="Times New Roman"/>
          <w:bCs/>
          <w:sz w:val="24"/>
          <w:szCs w:val="24"/>
        </w:rPr>
        <w:t>:</w:t>
      </w:r>
    </w:p>
    <w:p w:rsidR="00B52774" w:rsidRPr="00854E7B" w:rsidRDefault="00D0035A"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w:t>
      </w:r>
      <w:r w:rsidR="00B52774" w:rsidRPr="00854E7B">
        <w:rPr>
          <w:rFonts w:ascii="Times New Roman" w:eastAsia="Times New Roman" w:hAnsi="Times New Roman" w:cs="Times New Roman"/>
          <w:bCs/>
          <w:sz w:val="24"/>
          <w:szCs w:val="24"/>
        </w:rPr>
        <w:t>tbilstoši</w:t>
      </w:r>
      <w:r w:rsidR="00EA41FC" w:rsidRPr="00854E7B">
        <w:rPr>
          <w:rFonts w:ascii="Times New Roman" w:eastAsia="Times New Roman" w:hAnsi="Times New Roman" w:cs="Times New Roman"/>
          <w:bCs/>
          <w:sz w:val="24"/>
          <w:szCs w:val="24"/>
        </w:rPr>
        <w:t xml:space="preserve"> Iekšējās drošības fonda vai Patvēruma, migrācijas un integrācijas</w:t>
      </w:r>
      <w:r w:rsidR="00B52774" w:rsidRPr="00854E7B">
        <w:rPr>
          <w:rFonts w:ascii="Times New Roman" w:eastAsia="Times New Roman" w:hAnsi="Times New Roman" w:cs="Times New Roman"/>
          <w:bCs/>
          <w:sz w:val="24"/>
          <w:szCs w:val="24"/>
        </w:rPr>
        <w:t xml:space="preserve"> fonda</w:t>
      </w:r>
      <w:r w:rsidR="00EA41FC" w:rsidRPr="00854E7B">
        <w:rPr>
          <w:rFonts w:ascii="Times New Roman" w:eastAsia="Times New Roman" w:hAnsi="Times New Roman" w:cs="Times New Roman"/>
          <w:bCs/>
          <w:sz w:val="24"/>
          <w:szCs w:val="24"/>
        </w:rPr>
        <w:t xml:space="preserve"> (turpmāk</w:t>
      </w:r>
      <w:r w:rsidR="006F7D98" w:rsidRPr="00854E7B">
        <w:rPr>
          <w:rFonts w:ascii="Times New Roman" w:eastAsia="Times New Roman" w:hAnsi="Times New Roman" w:cs="Times New Roman"/>
          <w:bCs/>
          <w:sz w:val="24"/>
          <w:szCs w:val="24"/>
        </w:rPr>
        <w:t xml:space="preserve"> </w:t>
      </w:r>
      <w:r w:rsidR="00EA41FC" w:rsidRPr="00854E7B">
        <w:rPr>
          <w:rFonts w:ascii="Times New Roman" w:eastAsia="Times New Roman" w:hAnsi="Times New Roman" w:cs="Times New Roman"/>
          <w:bCs/>
          <w:sz w:val="24"/>
          <w:szCs w:val="24"/>
        </w:rPr>
        <w:t>– fonds)</w:t>
      </w:r>
      <w:r w:rsidR="00B52774" w:rsidRPr="00854E7B">
        <w:rPr>
          <w:rFonts w:ascii="Times New Roman" w:eastAsia="Times New Roman" w:hAnsi="Times New Roman" w:cs="Times New Roman"/>
          <w:bCs/>
          <w:sz w:val="24"/>
          <w:szCs w:val="24"/>
        </w:rPr>
        <w:t xml:space="preserve"> mērķiem;</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atbilstoši attiecināmības vispārīgiem principiem un attiecināmības izdevumiem, kas noteikti Eiropas Parlamenta un Padomes Regulā (ES) Nr. 514/2014 (2014. gada 16. aprīlis), ar ko paredz vispārīgus noteikumus Patvēruma, migrācijas un integrācijas fondam un finansiālā atbalsta instrumentam policijas sadarbībai, noziedzības novēršanai un apkarošanai un krīžu pārvarēšanai;</w:t>
      </w:r>
    </w:p>
    <w:p w:rsidR="00B52774"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atbilstoši darbībām, kas noteikti Eiropas Parlamenta un Padomes Regulā (ES) Nr. 513/2014 (2014. gada 16. aprīlis), ar ko kā daļu no Iekšējās drošības fonda izveido finansiālā atbalsta instrumentu policijas sadarbībai, noziedzības novēršanai un apkarošanai un krīžu pārvarēšanai un atceļ Padomes Lēmumu 2007/125/TI, Eiropas Parlamenta un Padomes Regulā (ES) Nr. 515/2014 (2014. gada 16. aprīlis), ar ko kā daļu no Iekšējās drošības fonda izveido finansiāla atbalsta instrumentu ārējām robežām un vīzām un atceļ Lēmumu Nr. 574/2007/EK un Eiropas Parlamenta un Padomes Regulā (ES) Nr. 516/2014 (2014. gada 16. aprīlis), ar ko izveido Patvēruma, migrācijas un integrācijas fondu, groza Padomes Lēmumu 2008/381/EK un atceļ Eiropas Parlamenta un Padomes Lēmumus Nr. 573/2007/EK un Nr. 575/2007/EK un Padomes Lēmumu 2007/435/EK (turpmāk – pamatdokumenti)</w:t>
      </w:r>
      <w:r w:rsidR="00B52774" w:rsidRPr="00854E7B">
        <w:rPr>
          <w:rFonts w:ascii="Times New Roman" w:eastAsia="Times New Roman" w:hAnsi="Times New Roman" w:cs="Times New Roman"/>
          <w:bCs/>
          <w:sz w:val="24"/>
          <w:szCs w:val="24"/>
        </w:rPr>
        <w:t>;</w:t>
      </w:r>
    </w:p>
    <w:p w:rsidR="00B52774" w:rsidRPr="00854E7B" w:rsidRDefault="00B52774"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atbilstoši fonda nacionālajā programmā apstiprinātajām darbībām;</w:t>
      </w:r>
    </w:p>
    <w:p w:rsidR="006D6E8E" w:rsidRPr="00854E7B" w:rsidRDefault="006D6E8E"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atbilstoši </w:t>
      </w:r>
      <w:r w:rsidR="00BE34F5">
        <w:rPr>
          <w:rFonts w:ascii="Times New Roman" w:eastAsia="Times New Roman" w:hAnsi="Times New Roman" w:cs="Times New Roman"/>
          <w:bCs/>
          <w:sz w:val="24"/>
          <w:szCs w:val="24"/>
        </w:rPr>
        <w:t>G</w:t>
      </w:r>
      <w:r w:rsidRPr="00854E7B">
        <w:rPr>
          <w:rFonts w:ascii="Times New Roman" w:eastAsia="Times New Roman" w:hAnsi="Times New Roman" w:cs="Times New Roman"/>
          <w:bCs/>
          <w:sz w:val="24"/>
          <w:szCs w:val="24"/>
        </w:rPr>
        <w:t>ranta līguma nosacījumiem;</w:t>
      </w:r>
    </w:p>
    <w:p w:rsidR="006D6E8E"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saistīti ar pamatdokumentos</w:t>
      </w:r>
      <w:r w:rsidR="006D6E8E" w:rsidRPr="00854E7B">
        <w:rPr>
          <w:rFonts w:ascii="Times New Roman" w:eastAsia="Times New Roman" w:hAnsi="Times New Roman" w:cs="Times New Roman"/>
          <w:bCs/>
          <w:sz w:val="24"/>
          <w:szCs w:val="24"/>
        </w:rPr>
        <w:t xml:space="preserve"> definētajām mērķa grupām</w:t>
      </w:r>
      <w:r w:rsidR="002A480E" w:rsidRPr="00854E7B">
        <w:rPr>
          <w:rFonts w:ascii="Times New Roman" w:eastAsia="Times New Roman" w:hAnsi="Times New Roman" w:cs="Times New Roman"/>
          <w:bCs/>
          <w:sz w:val="24"/>
          <w:szCs w:val="24"/>
        </w:rPr>
        <w:t>;</w:t>
      </w:r>
    </w:p>
    <w:p w:rsidR="006D6E8E" w:rsidRPr="00854E7B" w:rsidRDefault="006D6E8E"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atbilstoši</w:t>
      </w:r>
      <w:r w:rsidR="00B52774" w:rsidRPr="00854E7B">
        <w:rPr>
          <w:rFonts w:ascii="Times New Roman" w:eastAsia="Times New Roman" w:hAnsi="Times New Roman" w:cs="Times New Roman"/>
          <w:bCs/>
          <w:sz w:val="24"/>
          <w:szCs w:val="24"/>
        </w:rPr>
        <w:t xml:space="preserve"> pareizas finanšu pārvaldības principiem, jo īpaši attiecībā uz izdevīgumu un izmaksu lietderību</w:t>
      </w:r>
      <w:r w:rsidRPr="00854E7B">
        <w:rPr>
          <w:rFonts w:ascii="Times New Roman" w:eastAsia="Times New Roman" w:hAnsi="Times New Roman" w:cs="Times New Roman"/>
          <w:bCs/>
          <w:sz w:val="24"/>
          <w:szCs w:val="24"/>
        </w:rPr>
        <w:t>;</w:t>
      </w:r>
    </w:p>
    <w:p w:rsidR="006D6E8E" w:rsidRPr="00854E7B" w:rsidRDefault="006D6E8E"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pamat</w:t>
      </w:r>
      <w:r w:rsidR="000F3EDC" w:rsidRPr="00854E7B">
        <w:rPr>
          <w:rFonts w:ascii="Times New Roman" w:eastAsia="Times New Roman" w:hAnsi="Times New Roman" w:cs="Times New Roman"/>
          <w:bCs/>
          <w:sz w:val="24"/>
          <w:szCs w:val="24"/>
        </w:rPr>
        <w:t xml:space="preserve">oti ar </w:t>
      </w:r>
      <w:r w:rsidR="00EA41FC" w:rsidRPr="00854E7B">
        <w:rPr>
          <w:rFonts w:ascii="Times New Roman" w:eastAsia="Times New Roman" w:hAnsi="Times New Roman" w:cs="Times New Roman"/>
          <w:bCs/>
          <w:sz w:val="24"/>
          <w:szCs w:val="24"/>
        </w:rPr>
        <w:t xml:space="preserve">atbilstošiem </w:t>
      </w:r>
      <w:r w:rsidR="000F3EDC" w:rsidRPr="00854E7B">
        <w:rPr>
          <w:rFonts w:ascii="Times New Roman" w:eastAsia="Times New Roman" w:hAnsi="Times New Roman" w:cs="Times New Roman"/>
          <w:bCs/>
          <w:sz w:val="24"/>
          <w:szCs w:val="24"/>
        </w:rPr>
        <w:t>attaisnojuma dokumentiem;</w:t>
      </w:r>
    </w:p>
    <w:p w:rsidR="000F3EDC" w:rsidRPr="00854E7B" w:rsidRDefault="000F3EDC"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lastRenderedPageBreak/>
        <w:t>veikti ievērojot Eiropas Savienības un Latvijas Republikas normatīvo aktu prasības.</w:t>
      </w:r>
    </w:p>
    <w:p w:rsidR="006D6E8E" w:rsidRPr="00854E7B" w:rsidRDefault="006D6E8E" w:rsidP="00C611B6">
      <w:pPr>
        <w:widowControl w:val="0"/>
        <w:tabs>
          <w:tab w:val="left" w:pos="709"/>
        </w:tabs>
        <w:spacing w:after="0" w:line="360" w:lineRule="auto"/>
        <w:ind w:left="284"/>
        <w:jc w:val="both"/>
        <w:outlineLvl w:val="0"/>
        <w:rPr>
          <w:rFonts w:ascii="Times New Roman" w:eastAsia="Times New Roman" w:hAnsi="Times New Roman" w:cs="Times New Roman"/>
          <w:bCs/>
          <w:sz w:val="24"/>
          <w:szCs w:val="24"/>
        </w:rPr>
      </w:pPr>
    </w:p>
    <w:p w:rsidR="00E177FD" w:rsidRPr="00E177FD" w:rsidRDefault="00E177FD"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B2572E">
        <w:rPr>
          <w:rFonts w:ascii="Times New Roman" w:eastAsia="Times New Roman" w:hAnsi="Times New Roman" w:cs="Times New Roman"/>
          <w:bCs/>
          <w:sz w:val="24"/>
          <w:szCs w:val="24"/>
        </w:rPr>
        <w:t>Ja kopējā summa par līdzīga veida preču iegādi, pakalpojumu saņemšanu vai būvdarbiem ir lielāka par 1 500 EUR (bez pievienotās vērtības nodokļa (turpmāk – PVN) / ar valsts sociālās apdrošināšanas obligāto iemaksu (turpmāk – VSAOI)) un nepārsniedz Latvijas Republikas normatīvajos aktos iepirkumu jomā noteiktos sliekšņus, Finansējuma</w:t>
      </w:r>
      <w:r w:rsidRPr="00E177FD">
        <w:rPr>
          <w:rFonts w:ascii="Times New Roman" w:eastAsia="Times New Roman" w:hAnsi="Times New Roman" w:cs="Times New Roman"/>
          <w:bCs/>
          <w:sz w:val="24"/>
          <w:szCs w:val="24"/>
        </w:rPr>
        <w:t xml:space="preserve"> saņēmējam ir jāveic vismaz 3 (trīs) pretendentu piedāvājumu salīdzinājums (saglabājot dokumentālus pierādījumus par pretendentu piedāvātajām cenām), attiecīgi slēdzot līgumu ar pretendentu, kurš ir iesniedzis atbilstošu piedāvājumu ar viszemāko cenu. </w:t>
      </w:r>
    </w:p>
    <w:p w:rsidR="00ED7999" w:rsidRPr="00DF18A4" w:rsidRDefault="00ED7999"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ED7999" w:rsidRPr="00854E7B" w:rsidRDefault="00ED7999"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Pretendenta izvēles procesu dokumentāri apliecina vismaz vienā no šādiem veidiem:</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sarakstes ar piegādātājiem izdrukas (gan </w:t>
      </w:r>
      <w:r w:rsidR="00C1126B">
        <w:rPr>
          <w:rFonts w:ascii="Times New Roman" w:eastAsia="Times New Roman" w:hAnsi="Times New Roman" w:cs="Times New Roman"/>
          <w:bCs/>
          <w:sz w:val="24"/>
          <w:szCs w:val="24"/>
        </w:rPr>
        <w:t>F</w:t>
      </w:r>
      <w:r w:rsidR="000543DD">
        <w:rPr>
          <w:rFonts w:ascii="Times New Roman" w:eastAsia="Times New Roman" w:hAnsi="Times New Roman" w:cs="Times New Roman"/>
          <w:bCs/>
          <w:sz w:val="24"/>
          <w:szCs w:val="24"/>
        </w:rPr>
        <w:t xml:space="preserve">inansējuma saņēmēja </w:t>
      </w:r>
      <w:r w:rsidRPr="00854E7B">
        <w:rPr>
          <w:rFonts w:ascii="Times New Roman" w:eastAsia="Times New Roman" w:hAnsi="Times New Roman" w:cs="Times New Roman"/>
          <w:bCs/>
          <w:sz w:val="24"/>
          <w:szCs w:val="24"/>
        </w:rPr>
        <w:t>sūtītā informācija, gan piegādātāju sniegtās atbildes);</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ja ir veikta telefonaptauja vai piegādātāji ir aptaujāti klātienē – protokols, apkopojums vai cits dokuments brīvā formā, kurā tiek norādīts telefonsarunas vai aptaujas klātienē laiks, piegādātāja vārds un uzvārds (nosaukums, ja piegādātājs ir juridiska persona), piedāvātā cena, kā arī apliecinājums, ka piegādātājs ir informēts par būtiskākajiem līguma izpildes noteikumiem (ja attiecināms);</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ja priekšizpēte veikta, izmantojot internetā publiski pieejamos piegādātāju piedāvājum</w:t>
      </w:r>
      <w:r w:rsidR="00600932">
        <w:rPr>
          <w:rFonts w:ascii="Times New Roman" w:eastAsia="Times New Roman" w:hAnsi="Times New Roman" w:cs="Times New Roman"/>
          <w:bCs/>
          <w:sz w:val="24"/>
          <w:szCs w:val="24"/>
        </w:rPr>
        <w:t>us – izdrukas no tīmekļ</w:t>
      </w:r>
      <w:r w:rsidRPr="00854E7B">
        <w:rPr>
          <w:rFonts w:ascii="Times New Roman" w:eastAsia="Times New Roman" w:hAnsi="Times New Roman" w:cs="Times New Roman"/>
          <w:bCs/>
          <w:sz w:val="24"/>
          <w:szCs w:val="24"/>
        </w:rPr>
        <w:t>vietnes, kurā piedāvājumi ievietoti. Izdrukai jāsa</w:t>
      </w:r>
      <w:r w:rsidR="00600932">
        <w:rPr>
          <w:rFonts w:ascii="Times New Roman" w:eastAsia="Times New Roman" w:hAnsi="Times New Roman" w:cs="Times New Roman"/>
          <w:bCs/>
          <w:sz w:val="24"/>
          <w:szCs w:val="24"/>
        </w:rPr>
        <w:t>tur norāde uz aplūkotās tīmekļ</w:t>
      </w:r>
      <w:r w:rsidRPr="00854E7B">
        <w:rPr>
          <w:rFonts w:ascii="Times New Roman" w:eastAsia="Times New Roman" w:hAnsi="Times New Roman" w:cs="Times New Roman"/>
          <w:bCs/>
          <w:sz w:val="24"/>
          <w:szCs w:val="24"/>
        </w:rPr>
        <w:t>vietnes adresi un izdrukas veikšanas laiku;</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brošūras, bukleti, katalogi u.c. veida dokumenti, kuros ir ietverti piegādātāju piedāvājumi;</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nozares eksperta slēdziens vai at</w:t>
      </w:r>
      <w:r w:rsidR="002C4798">
        <w:rPr>
          <w:rFonts w:ascii="Times New Roman" w:eastAsia="Times New Roman" w:hAnsi="Times New Roman" w:cs="Times New Roman"/>
          <w:bCs/>
          <w:sz w:val="24"/>
          <w:szCs w:val="24"/>
        </w:rPr>
        <w:t>zinums par iespējamām izmaksām;</w:t>
      </w:r>
      <w:r w:rsidRPr="00854E7B">
        <w:rPr>
          <w:rFonts w:ascii="Times New Roman" w:eastAsia="Times New Roman" w:hAnsi="Times New Roman" w:cs="Times New Roman"/>
          <w:bCs/>
          <w:sz w:val="24"/>
          <w:szCs w:val="24"/>
        </w:rPr>
        <w:t xml:space="preserve"> </w:t>
      </w:r>
    </w:p>
    <w:p w:rsidR="00ED7999" w:rsidRPr="00854E7B" w:rsidRDefault="0014669C"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Finansējuma saņēmēja</w:t>
      </w:r>
      <w:r w:rsidR="00ED7999" w:rsidRPr="00854E7B">
        <w:rPr>
          <w:rFonts w:ascii="Times New Roman" w:eastAsia="Times New Roman" w:hAnsi="Times New Roman" w:cs="Times New Roman"/>
          <w:bCs/>
          <w:sz w:val="24"/>
          <w:szCs w:val="24"/>
        </w:rPr>
        <w:t xml:space="preserve"> uzkrātā informācija vai iepriekš veiktā izpēte par iespējamām izmaksām, kas ir attiecīgi dokumentēta;</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atbildīgā darbinieka</w:t>
      </w:r>
      <w:r w:rsidR="00F962BE">
        <w:rPr>
          <w:rFonts w:ascii="Times New Roman" w:eastAsia="Times New Roman" w:hAnsi="Times New Roman" w:cs="Times New Roman"/>
          <w:bCs/>
          <w:sz w:val="24"/>
          <w:szCs w:val="24"/>
        </w:rPr>
        <w:t xml:space="preserve"> (amatpersonas)</w:t>
      </w:r>
      <w:r w:rsidRPr="00854E7B">
        <w:rPr>
          <w:rFonts w:ascii="Times New Roman" w:eastAsia="Times New Roman" w:hAnsi="Times New Roman" w:cs="Times New Roman"/>
          <w:bCs/>
          <w:sz w:val="24"/>
          <w:szCs w:val="24"/>
        </w:rPr>
        <w:t xml:space="preserve"> atskaite (ziņojums) vai </w:t>
      </w:r>
      <w:r w:rsidR="0014669C">
        <w:rPr>
          <w:rFonts w:ascii="Times New Roman" w:eastAsia="Times New Roman" w:hAnsi="Times New Roman" w:cs="Times New Roman"/>
          <w:bCs/>
          <w:sz w:val="24"/>
          <w:szCs w:val="24"/>
        </w:rPr>
        <w:t xml:space="preserve">tirgus cenu izpētes </w:t>
      </w:r>
      <w:r w:rsidRPr="00854E7B">
        <w:rPr>
          <w:rFonts w:ascii="Times New Roman" w:eastAsia="Times New Roman" w:hAnsi="Times New Roman" w:cs="Times New Roman"/>
          <w:bCs/>
          <w:sz w:val="24"/>
          <w:szCs w:val="24"/>
        </w:rPr>
        <w:t>protokols ar attiecīgās situācijas izvērtējumu.</w:t>
      </w:r>
    </w:p>
    <w:p w:rsidR="00ED7999" w:rsidRPr="00DF18A4" w:rsidRDefault="00ED7999" w:rsidP="00C611B6">
      <w:pPr>
        <w:pStyle w:val="Sarakstarindkopa"/>
        <w:widowControl w:val="0"/>
        <w:tabs>
          <w:tab w:val="left" w:pos="284"/>
        </w:tabs>
        <w:spacing w:after="0" w:line="360" w:lineRule="auto"/>
        <w:ind w:left="567"/>
        <w:jc w:val="both"/>
        <w:outlineLvl w:val="0"/>
        <w:rPr>
          <w:rFonts w:ascii="Times New Roman" w:eastAsia="Times New Roman" w:hAnsi="Times New Roman" w:cs="Times New Roman"/>
          <w:bCs/>
          <w:sz w:val="10"/>
          <w:szCs w:val="10"/>
        </w:rPr>
      </w:pPr>
    </w:p>
    <w:p w:rsidR="00ED7999" w:rsidRPr="00854E7B" w:rsidRDefault="00ED7999"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Veicot iepirkumu un slēdzot preču piegādes vai pakalpojumu līgumu, ir jāievēro labas saimnieciskās prakses, caurskatāmības un godīgas konkurences </w:t>
      </w:r>
      <w:r w:rsidR="00D11637" w:rsidRPr="00854E7B">
        <w:rPr>
          <w:rFonts w:ascii="Times New Roman" w:eastAsia="Times New Roman" w:hAnsi="Times New Roman" w:cs="Times New Roman"/>
          <w:bCs/>
          <w:sz w:val="24"/>
          <w:szCs w:val="24"/>
        </w:rPr>
        <w:t>princip</w:t>
      </w:r>
      <w:r w:rsidR="00D11637">
        <w:rPr>
          <w:rFonts w:ascii="Times New Roman" w:eastAsia="Times New Roman" w:hAnsi="Times New Roman" w:cs="Times New Roman"/>
          <w:bCs/>
          <w:sz w:val="24"/>
          <w:szCs w:val="24"/>
        </w:rPr>
        <w:t>s</w:t>
      </w:r>
      <w:r w:rsidRPr="00854E7B">
        <w:rPr>
          <w:rFonts w:ascii="Times New Roman" w:eastAsia="Times New Roman" w:hAnsi="Times New Roman" w:cs="Times New Roman"/>
          <w:bCs/>
          <w:sz w:val="24"/>
          <w:szCs w:val="24"/>
        </w:rPr>
        <w:t xml:space="preserve">, kā arī </w:t>
      </w:r>
      <w:r w:rsidR="0014669C">
        <w:rPr>
          <w:rFonts w:ascii="Times New Roman" w:eastAsia="Times New Roman" w:hAnsi="Times New Roman" w:cs="Times New Roman"/>
          <w:bCs/>
          <w:sz w:val="24"/>
          <w:szCs w:val="24"/>
        </w:rPr>
        <w:t>jā</w:t>
      </w:r>
      <w:r w:rsidRPr="00854E7B">
        <w:rPr>
          <w:rFonts w:ascii="Times New Roman" w:eastAsia="Times New Roman" w:hAnsi="Times New Roman" w:cs="Times New Roman"/>
          <w:bCs/>
          <w:sz w:val="24"/>
          <w:szCs w:val="24"/>
        </w:rPr>
        <w:t xml:space="preserve">nodrošina </w:t>
      </w:r>
      <w:r w:rsidR="00D11637" w:rsidRPr="00854E7B">
        <w:rPr>
          <w:rFonts w:ascii="Times New Roman" w:eastAsia="Times New Roman" w:hAnsi="Times New Roman" w:cs="Times New Roman"/>
          <w:bCs/>
          <w:sz w:val="24"/>
          <w:szCs w:val="24"/>
        </w:rPr>
        <w:t>lietderīg</w:t>
      </w:r>
      <w:r w:rsidR="00D11637">
        <w:rPr>
          <w:rFonts w:ascii="Times New Roman" w:eastAsia="Times New Roman" w:hAnsi="Times New Roman" w:cs="Times New Roman"/>
          <w:bCs/>
          <w:sz w:val="24"/>
          <w:szCs w:val="24"/>
        </w:rPr>
        <w:t>s</w:t>
      </w:r>
      <w:r w:rsidR="00D11637" w:rsidRPr="00854E7B">
        <w:rPr>
          <w:rFonts w:ascii="Times New Roman" w:eastAsia="Times New Roman" w:hAnsi="Times New Roman" w:cs="Times New Roman"/>
          <w:bCs/>
          <w:sz w:val="24"/>
          <w:szCs w:val="24"/>
        </w:rPr>
        <w:t xml:space="preserve"> </w:t>
      </w:r>
      <w:r w:rsidRPr="00854E7B">
        <w:rPr>
          <w:rFonts w:ascii="Times New Roman" w:eastAsia="Times New Roman" w:hAnsi="Times New Roman" w:cs="Times New Roman"/>
          <w:bCs/>
          <w:sz w:val="24"/>
          <w:szCs w:val="24"/>
        </w:rPr>
        <w:t xml:space="preserve">piešķirtā finansējuma </w:t>
      </w:r>
      <w:r w:rsidR="00D11637" w:rsidRPr="00854E7B">
        <w:rPr>
          <w:rFonts w:ascii="Times New Roman" w:eastAsia="Times New Roman" w:hAnsi="Times New Roman" w:cs="Times New Roman"/>
          <w:bCs/>
          <w:sz w:val="24"/>
          <w:szCs w:val="24"/>
        </w:rPr>
        <w:t>izlietojum</w:t>
      </w:r>
      <w:r w:rsidR="00D11637">
        <w:rPr>
          <w:rFonts w:ascii="Times New Roman" w:eastAsia="Times New Roman" w:hAnsi="Times New Roman" w:cs="Times New Roman"/>
          <w:bCs/>
          <w:sz w:val="24"/>
          <w:szCs w:val="24"/>
        </w:rPr>
        <w:t>s</w:t>
      </w:r>
      <w:r w:rsidRPr="00854E7B">
        <w:rPr>
          <w:rFonts w:ascii="Times New Roman" w:eastAsia="Times New Roman" w:hAnsi="Times New Roman" w:cs="Times New Roman"/>
          <w:bCs/>
          <w:sz w:val="24"/>
          <w:szCs w:val="24"/>
        </w:rPr>
        <w:t>.</w:t>
      </w:r>
    </w:p>
    <w:p w:rsidR="00ED7999" w:rsidRPr="00DF18A4" w:rsidRDefault="00ED7999"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717890" w:rsidRDefault="00717890"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Projekta </w:t>
      </w:r>
      <w:r w:rsidR="000179AC">
        <w:rPr>
          <w:rFonts w:ascii="Times New Roman" w:eastAsia="Times New Roman" w:hAnsi="Times New Roman" w:cs="Times New Roman"/>
          <w:bCs/>
          <w:sz w:val="24"/>
          <w:szCs w:val="24"/>
        </w:rPr>
        <w:t xml:space="preserve">īstenošana </w:t>
      </w:r>
      <w:r w:rsidRPr="00854E7B">
        <w:rPr>
          <w:rFonts w:ascii="Times New Roman" w:eastAsia="Times New Roman" w:hAnsi="Times New Roman" w:cs="Times New Roman"/>
          <w:bCs/>
          <w:sz w:val="24"/>
          <w:szCs w:val="24"/>
        </w:rPr>
        <w:t xml:space="preserve">ir jāievēro bezpeļņas princips, tas ir, ja </w:t>
      </w:r>
      <w:r w:rsidR="00C1126B">
        <w:rPr>
          <w:rFonts w:ascii="Times New Roman" w:eastAsia="Times New Roman" w:hAnsi="Times New Roman" w:cs="Times New Roman"/>
          <w:bCs/>
          <w:sz w:val="24"/>
          <w:szCs w:val="24"/>
        </w:rPr>
        <w:t>F</w:t>
      </w:r>
      <w:r w:rsidRPr="00854E7B">
        <w:rPr>
          <w:rFonts w:ascii="Times New Roman" w:eastAsia="Times New Roman" w:hAnsi="Times New Roman" w:cs="Times New Roman"/>
          <w:bCs/>
          <w:sz w:val="24"/>
          <w:szCs w:val="24"/>
        </w:rPr>
        <w:t xml:space="preserve">inansējuma saņēmējs daļu no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izdevumiem finansē no saviem līdzekļiem vai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w:t>
      </w:r>
      <w:r w:rsidR="002C4798">
        <w:rPr>
          <w:rFonts w:ascii="Times New Roman" w:eastAsia="Times New Roman" w:hAnsi="Times New Roman" w:cs="Times New Roman"/>
          <w:bCs/>
          <w:sz w:val="24"/>
          <w:szCs w:val="24"/>
        </w:rPr>
        <w:t>īstenošan</w:t>
      </w:r>
      <w:r w:rsidR="000179AC">
        <w:rPr>
          <w:rFonts w:ascii="Times New Roman" w:eastAsia="Times New Roman" w:hAnsi="Times New Roman" w:cs="Times New Roman"/>
          <w:bCs/>
          <w:sz w:val="24"/>
          <w:szCs w:val="24"/>
        </w:rPr>
        <w:t>as</w:t>
      </w:r>
      <w:r w:rsidR="000179AC" w:rsidRPr="00854E7B">
        <w:rPr>
          <w:rFonts w:ascii="Times New Roman" w:eastAsia="Times New Roman" w:hAnsi="Times New Roman" w:cs="Times New Roman"/>
          <w:bCs/>
          <w:sz w:val="24"/>
          <w:szCs w:val="24"/>
        </w:rPr>
        <w:t xml:space="preserve"> </w:t>
      </w:r>
      <w:r w:rsidRPr="00854E7B">
        <w:rPr>
          <w:rFonts w:ascii="Times New Roman" w:eastAsia="Times New Roman" w:hAnsi="Times New Roman" w:cs="Times New Roman"/>
          <w:bCs/>
          <w:sz w:val="24"/>
          <w:szCs w:val="24"/>
        </w:rPr>
        <w:t>l</w:t>
      </w:r>
      <w:r w:rsidR="00B07697">
        <w:rPr>
          <w:rFonts w:ascii="Times New Roman" w:eastAsia="Times New Roman" w:hAnsi="Times New Roman" w:cs="Times New Roman"/>
          <w:bCs/>
          <w:sz w:val="24"/>
          <w:szCs w:val="24"/>
        </w:rPr>
        <w:t>aikā ir radušies ieņēmumi, par “</w:t>
      </w:r>
      <w:r w:rsidRPr="00854E7B">
        <w:rPr>
          <w:rFonts w:ascii="Times New Roman" w:eastAsia="Times New Roman" w:hAnsi="Times New Roman" w:cs="Times New Roman"/>
          <w:bCs/>
          <w:sz w:val="24"/>
          <w:szCs w:val="24"/>
        </w:rPr>
        <w:t>trešo pušu” finansējuma daļu un ieņēmumu summu ir samazināma Eiropas Savienības finansējuma un</w:t>
      </w:r>
      <w:r w:rsidR="000179AC">
        <w:rPr>
          <w:rFonts w:ascii="Times New Roman" w:eastAsia="Times New Roman" w:hAnsi="Times New Roman" w:cs="Times New Roman"/>
          <w:bCs/>
          <w:sz w:val="24"/>
          <w:szCs w:val="24"/>
        </w:rPr>
        <w:t xml:space="preserve"> valsts budžeta</w:t>
      </w:r>
      <w:r w:rsidRPr="00854E7B">
        <w:rPr>
          <w:rFonts w:ascii="Times New Roman" w:eastAsia="Times New Roman" w:hAnsi="Times New Roman" w:cs="Times New Roman"/>
          <w:bCs/>
          <w:sz w:val="24"/>
          <w:szCs w:val="24"/>
        </w:rPr>
        <w:t xml:space="preserve"> līdzfinansējuma summa.</w:t>
      </w:r>
    </w:p>
    <w:p w:rsidR="003649F4" w:rsidRPr="003649F4" w:rsidRDefault="003649F4" w:rsidP="003649F4">
      <w:pPr>
        <w:pStyle w:val="Sarakstarindkopa"/>
        <w:rPr>
          <w:rFonts w:ascii="Times New Roman" w:eastAsia="Times New Roman" w:hAnsi="Times New Roman" w:cs="Times New Roman"/>
          <w:bCs/>
          <w:sz w:val="10"/>
          <w:szCs w:val="10"/>
        </w:rPr>
      </w:pPr>
    </w:p>
    <w:p w:rsidR="003649F4" w:rsidRPr="00854E7B" w:rsidRDefault="003649F4"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1F574E">
        <w:rPr>
          <w:rFonts w:ascii="Times New Roman" w:eastAsia="Times New Roman" w:hAnsi="Times New Roman" w:cs="Times New Roman"/>
          <w:sz w:val="24"/>
          <w:szCs w:val="24"/>
          <w:lang w:eastAsia="lv-LV"/>
        </w:rPr>
        <w:t xml:space="preserve">Fonda ietvaros </w:t>
      </w:r>
      <w:r>
        <w:rPr>
          <w:rFonts w:ascii="Times New Roman" w:eastAsia="Times New Roman" w:hAnsi="Times New Roman" w:cs="Times New Roman"/>
          <w:sz w:val="24"/>
          <w:szCs w:val="24"/>
          <w:lang w:eastAsia="lv-LV"/>
        </w:rPr>
        <w:t>apstiprināto</w:t>
      </w:r>
      <w:r w:rsidRPr="001F574E">
        <w:rPr>
          <w:rFonts w:ascii="Times New Roman" w:eastAsia="Times New Roman" w:hAnsi="Times New Roman" w:cs="Times New Roman"/>
          <w:sz w:val="24"/>
          <w:szCs w:val="24"/>
          <w:lang w:eastAsia="lv-LV"/>
        </w:rPr>
        <w:t xml:space="preserve"> projektu nevar finansēt no citiem Eiropas Savienības fondu un </w:t>
      </w:r>
      <w:r w:rsidRPr="001F574E">
        <w:rPr>
          <w:rFonts w:ascii="Times New Roman" w:eastAsia="Times New Roman" w:hAnsi="Times New Roman" w:cs="Times New Roman"/>
          <w:sz w:val="24"/>
          <w:szCs w:val="24"/>
          <w:lang w:eastAsia="lv-LV"/>
        </w:rPr>
        <w:lastRenderedPageBreak/>
        <w:t>citu ārvalstu finanšu instrumentu līdzekļiem</w:t>
      </w:r>
      <w:r>
        <w:rPr>
          <w:rFonts w:ascii="Times New Roman" w:eastAsia="Times New Roman" w:hAnsi="Times New Roman" w:cs="Times New Roman"/>
          <w:sz w:val="24"/>
          <w:szCs w:val="24"/>
          <w:lang w:eastAsia="lv-LV"/>
        </w:rPr>
        <w:t>.</w:t>
      </w:r>
    </w:p>
    <w:p w:rsidR="00B52774" w:rsidRPr="00DF18A4" w:rsidRDefault="00B52774"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717890" w:rsidRPr="00854E7B" w:rsidRDefault="00717890"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Teritoriālās darbības joma:</w:t>
      </w:r>
    </w:p>
    <w:p w:rsidR="00ED7999" w:rsidRPr="00854E7B" w:rsidRDefault="00ED799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izdevumiem ir jārodas Eiropas Savienības teritorijā, izņemot gadījumus, kas noteikti pamatdokumentos;</w:t>
      </w:r>
    </w:p>
    <w:p w:rsidR="00935AD0" w:rsidRPr="00854E7B" w:rsidRDefault="003D77F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556E7D">
        <w:rPr>
          <w:rFonts w:ascii="Times New Roman" w:eastAsia="Times New Roman" w:hAnsi="Times New Roman" w:cs="Times New Roman"/>
          <w:bCs/>
          <w:sz w:val="24"/>
          <w:szCs w:val="24"/>
        </w:rPr>
        <w:t>P</w:t>
      </w:r>
      <w:r w:rsidR="00ED7999" w:rsidRPr="00556E7D">
        <w:rPr>
          <w:rFonts w:ascii="Times New Roman" w:eastAsia="Times New Roman" w:hAnsi="Times New Roman" w:cs="Times New Roman"/>
          <w:bCs/>
          <w:sz w:val="24"/>
          <w:szCs w:val="24"/>
        </w:rPr>
        <w:t xml:space="preserve">rojekta sadarbības partneru, kas reģistrēti un darbojas trešajās valstīs, izdevumi nav attiecināmi, izņemot gadījumus, kas noteikti pamatdokumentos. Projekta sadarbības partneri, kas reģistrēti un darbojas trešajās valstīs, var piedalīties </w:t>
      </w:r>
      <w:r w:rsidRPr="00556E7D">
        <w:rPr>
          <w:rFonts w:ascii="Times New Roman" w:eastAsia="Times New Roman" w:hAnsi="Times New Roman" w:cs="Times New Roman"/>
          <w:bCs/>
          <w:sz w:val="24"/>
          <w:szCs w:val="24"/>
        </w:rPr>
        <w:t>P</w:t>
      </w:r>
      <w:r w:rsidR="00ED7999" w:rsidRPr="00556E7D">
        <w:rPr>
          <w:rFonts w:ascii="Times New Roman" w:eastAsia="Times New Roman" w:hAnsi="Times New Roman" w:cs="Times New Roman"/>
          <w:bCs/>
          <w:sz w:val="24"/>
          <w:szCs w:val="24"/>
        </w:rPr>
        <w:t xml:space="preserve">rojekta </w:t>
      </w:r>
      <w:r w:rsidR="000179AC" w:rsidRPr="00556E7D">
        <w:rPr>
          <w:rFonts w:ascii="Times New Roman" w:eastAsia="Times New Roman" w:hAnsi="Times New Roman" w:cs="Times New Roman"/>
          <w:bCs/>
          <w:sz w:val="24"/>
          <w:szCs w:val="24"/>
        </w:rPr>
        <w:t xml:space="preserve">īstenošanā </w:t>
      </w:r>
      <w:r w:rsidR="00ED7999" w:rsidRPr="00556E7D">
        <w:rPr>
          <w:rFonts w:ascii="Times New Roman" w:eastAsia="Times New Roman" w:hAnsi="Times New Roman" w:cs="Times New Roman"/>
          <w:bCs/>
          <w:sz w:val="24"/>
          <w:szCs w:val="24"/>
        </w:rPr>
        <w:t>ar saviem finanšu līdzekļiem</w:t>
      </w:r>
      <w:r w:rsidR="00935AD0" w:rsidRPr="00556E7D">
        <w:rPr>
          <w:rFonts w:ascii="Times New Roman" w:eastAsia="Times New Roman" w:hAnsi="Times New Roman" w:cs="Times New Roman"/>
          <w:bCs/>
          <w:sz w:val="24"/>
          <w:szCs w:val="24"/>
        </w:rPr>
        <w:t xml:space="preserve">. </w:t>
      </w:r>
    </w:p>
    <w:p w:rsidR="000F3EDC" w:rsidRPr="00DF18A4" w:rsidRDefault="000F3EDC" w:rsidP="00C611B6">
      <w:pPr>
        <w:widowControl w:val="0"/>
        <w:tabs>
          <w:tab w:val="left" w:pos="284"/>
        </w:tabs>
        <w:spacing w:after="0" w:line="360" w:lineRule="auto"/>
        <w:jc w:val="both"/>
        <w:outlineLvl w:val="0"/>
        <w:rPr>
          <w:rFonts w:ascii="Times New Roman" w:eastAsia="Times New Roman" w:hAnsi="Times New Roman" w:cs="Times New Roman"/>
          <w:bCs/>
          <w:sz w:val="10"/>
          <w:szCs w:val="10"/>
        </w:rPr>
      </w:pPr>
    </w:p>
    <w:p w:rsidR="00602ABE" w:rsidRPr="00854E7B" w:rsidRDefault="006F7D98"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D06043">
        <w:rPr>
          <w:rFonts w:ascii="Times New Roman" w:eastAsia="Times New Roman" w:hAnsi="Times New Roman" w:cs="Times New Roman"/>
          <w:bCs/>
          <w:sz w:val="24"/>
          <w:szCs w:val="24"/>
        </w:rPr>
        <w:t>P</w:t>
      </w:r>
      <w:r w:rsidR="00602ABE" w:rsidRPr="00D06043">
        <w:rPr>
          <w:rFonts w:ascii="Times New Roman" w:eastAsia="Times New Roman" w:hAnsi="Times New Roman" w:cs="Times New Roman"/>
          <w:bCs/>
          <w:sz w:val="24"/>
          <w:szCs w:val="24"/>
        </w:rPr>
        <w:t>rojekta ietvaros veikto</w:t>
      </w:r>
      <w:r w:rsidR="00602ABE" w:rsidRPr="00854E7B">
        <w:rPr>
          <w:rFonts w:ascii="Times New Roman" w:eastAsia="Times New Roman" w:hAnsi="Times New Roman" w:cs="Times New Roman"/>
          <w:bCs/>
          <w:sz w:val="24"/>
          <w:szCs w:val="24"/>
        </w:rPr>
        <w:t xml:space="preserve"> izdevumu </w:t>
      </w:r>
      <w:r w:rsidR="00DA2C3D" w:rsidRPr="00854E7B">
        <w:rPr>
          <w:rFonts w:ascii="Times New Roman" w:eastAsia="Times New Roman" w:hAnsi="Times New Roman" w:cs="Times New Roman"/>
          <w:bCs/>
          <w:sz w:val="24"/>
          <w:szCs w:val="24"/>
        </w:rPr>
        <w:t>attaisnojuma dokumenti, kas</w:t>
      </w:r>
      <w:r w:rsidRPr="00854E7B">
        <w:rPr>
          <w:rFonts w:ascii="Times New Roman" w:eastAsia="Times New Roman" w:hAnsi="Times New Roman" w:cs="Times New Roman"/>
          <w:bCs/>
          <w:sz w:val="24"/>
          <w:szCs w:val="24"/>
        </w:rPr>
        <w:t xml:space="preserve"> jāiesniedz kopā ar izdevumu pārskatu un kas</w:t>
      </w:r>
      <w:r w:rsidR="00DA2C3D" w:rsidRPr="00854E7B">
        <w:rPr>
          <w:rFonts w:ascii="Times New Roman" w:eastAsia="Times New Roman" w:hAnsi="Times New Roman" w:cs="Times New Roman"/>
          <w:bCs/>
          <w:sz w:val="24"/>
          <w:szCs w:val="24"/>
        </w:rPr>
        <w:t xml:space="preserve"> attiecas uz visām izdevumu kategorijām:</w:t>
      </w:r>
    </w:p>
    <w:p w:rsidR="00DA2C3D" w:rsidRPr="00854E7B" w:rsidRDefault="003D77F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82AC9" w:rsidRPr="00854E7B">
        <w:rPr>
          <w:rFonts w:ascii="Times New Roman" w:eastAsia="Times New Roman" w:hAnsi="Times New Roman" w:cs="Times New Roman"/>
          <w:bCs/>
          <w:sz w:val="24"/>
          <w:szCs w:val="24"/>
        </w:rPr>
        <w:t xml:space="preserve">rojekta </w:t>
      </w:r>
      <w:r w:rsidR="00DA2C3D" w:rsidRPr="00854E7B">
        <w:rPr>
          <w:rFonts w:ascii="Times New Roman" w:eastAsia="Times New Roman" w:hAnsi="Times New Roman" w:cs="Times New Roman"/>
          <w:bCs/>
          <w:sz w:val="24"/>
          <w:szCs w:val="24"/>
        </w:rPr>
        <w:t xml:space="preserve">konta kopsavilkums par </w:t>
      </w:r>
      <w:r w:rsidR="003F0087">
        <w:rPr>
          <w:rFonts w:ascii="Times New Roman" w:eastAsia="Times New Roman" w:hAnsi="Times New Roman" w:cs="Times New Roman"/>
          <w:bCs/>
          <w:sz w:val="24"/>
          <w:szCs w:val="24"/>
        </w:rPr>
        <w:t>pārskata periodu</w:t>
      </w:r>
      <w:r w:rsidR="00DA2C3D" w:rsidRPr="00854E7B">
        <w:rPr>
          <w:rFonts w:ascii="Times New Roman" w:eastAsia="Times New Roman" w:hAnsi="Times New Roman" w:cs="Times New Roman"/>
          <w:bCs/>
          <w:sz w:val="24"/>
          <w:szCs w:val="24"/>
        </w:rPr>
        <w:t xml:space="preserve">; </w:t>
      </w:r>
    </w:p>
    <w:p w:rsidR="00DA2C3D" w:rsidRPr="001676AC" w:rsidRDefault="003D77F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82AC9" w:rsidRPr="00854E7B">
        <w:rPr>
          <w:rFonts w:ascii="Times New Roman" w:eastAsia="Times New Roman" w:hAnsi="Times New Roman" w:cs="Times New Roman"/>
          <w:bCs/>
          <w:sz w:val="24"/>
          <w:szCs w:val="24"/>
        </w:rPr>
        <w:t xml:space="preserve">rojekta </w:t>
      </w:r>
      <w:r w:rsidR="00DA2C3D" w:rsidRPr="00854E7B">
        <w:rPr>
          <w:rFonts w:ascii="Times New Roman" w:eastAsia="Times New Roman" w:hAnsi="Times New Roman" w:cs="Times New Roman"/>
          <w:bCs/>
          <w:sz w:val="24"/>
          <w:szCs w:val="24"/>
        </w:rPr>
        <w:t xml:space="preserve">konta kopsavilkums </w:t>
      </w:r>
      <w:r w:rsidR="00DA2C3D" w:rsidRPr="001676AC">
        <w:rPr>
          <w:rFonts w:ascii="Times New Roman" w:eastAsia="Times New Roman" w:hAnsi="Times New Roman" w:cs="Times New Roman"/>
          <w:bCs/>
          <w:sz w:val="24"/>
          <w:szCs w:val="24"/>
        </w:rPr>
        <w:t>par periodu no</w:t>
      </w:r>
      <w:r w:rsidR="001676AC">
        <w:rPr>
          <w:rFonts w:ascii="Times New Roman" w:eastAsia="Times New Roman" w:hAnsi="Times New Roman" w:cs="Times New Roman"/>
          <w:bCs/>
          <w:sz w:val="24"/>
          <w:szCs w:val="24"/>
        </w:rPr>
        <w:t xml:space="preserve"> </w:t>
      </w:r>
      <w:r w:rsidR="00CA7189">
        <w:rPr>
          <w:rFonts w:ascii="Times New Roman" w:eastAsia="Times New Roman" w:hAnsi="Times New Roman" w:cs="Times New Roman"/>
          <w:bCs/>
          <w:sz w:val="24"/>
          <w:szCs w:val="24"/>
        </w:rPr>
        <w:t>kalendārā</w:t>
      </w:r>
      <w:r w:rsidR="00CA7189" w:rsidRPr="001676AC">
        <w:rPr>
          <w:rFonts w:ascii="Times New Roman" w:eastAsia="Times New Roman" w:hAnsi="Times New Roman" w:cs="Times New Roman"/>
          <w:bCs/>
          <w:sz w:val="24"/>
          <w:szCs w:val="24"/>
        </w:rPr>
        <w:t xml:space="preserve"> </w:t>
      </w:r>
      <w:r w:rsidR="00DA2C3D" w:rsidRPr="001676AC">
        <w:rPr>
          <w:rFonts w:ascii="Times New Roman" w:eastAsia="Times New Roman" w:hAnsi="Times New Roman" w:cs="Times New Roman"/>
          <w:bCs/>
          <w:sz w:val="24"/>
          <w:szCs w:val="24"/>
        </w:rPr>
        <w:t>gada sākuma;</w:t>
      </w:r>
    </w:p>
    <w:p w:rsidR="00DA2C3D" w:rsidRPr="00854E7B" w:rsidRDefault="003D77F9"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82AC9" w:rsidRPr="00854E7B">
        <w:rPr>
          <w:rFonts w:ascii="Times New Roman" w:eastAsia="Times New Roman" w:hAnsi="Times New Roman" w:cs="Times New Roman"/>
          <w:bCs/>
          <w:sz w:val="24"/>
          <w:szCs w:val="24"/>
        </w:rPr>
        <w:t xml:space="preserve">rojekta </w:t>
      </w:r>
      <w:r w:rsidR="00DA2C3D" w:rsidRPr="00854E7B">
        <w:rPr>
          <w:rFonts w:ascii="Times New Roman" w:eastAsia="Times New Roman" w:hAnsi="Times New Roman" w:cs="Times New Roman"/>
          <w:bCs/>
          <w:sz w:val="24"/>
          <w:szCs w:val="24"/>
        </w:rPr>
        <w:t xml:space="preserve">konta izraksts par </w:t>
      </w:r>
      <w:r w:rsidR="00CA7189">
        <w:rPr>
          <w:rFonts w:ascii="Times New Roman" w:eastAsia="Times New Roman" w:hAnsi="Times New Roman" w:cs="Times New Roman"/>
          <w:bCs/>
          <w:sz w:val="24"/>
          <w:szCs w:val="24"/>
        </w:rPr>
        <w:t>kalendāra mēnesi, pie katra maksāj</w:t>
      </w:r>
      <w:r w:rsidR="006B37F4">
        <w:rPr>
          <w:rFonts w:ascii="Times New Roman" w:eastAsia="Times New Roman" w:hAnsi="Times New Roman" w:cs="Times New Roman"/>
          <w:bCs/>
          <w:sz w:val="24"/>
          <w:szCs w:val="24"/>
        </w:rPr>
        <w:t xml:space="preserve">uma norādot pasākuma numuru un </w:t>
      </w:r>
      <w:r w:rsidR="00CA7189">
        <w:rPr>
          <w:rFonts w:ascii="Times New Roman" w:eastAsia="Times New Roman" w:hAnsi="Times New Roman" w:cs="Times New Roman"/>
          <w:bCs/>
          <w:sz w:val="24"/>
          <w:szCs w:val="24"/>
        </w:rPr>
        <w:t>izdevuma kategoriju (piemēram 1.A; 2.B u</w:t>
      </w:r>
      <w:r w:rsidR="006B37F4">
        <w:rPr>
          <w:rFonts w:ascii="Times New Roman" w:eastAsia="Times New Roman" w:hAnsi="Times New Roman" w:cs="Times New Roman"/>
          <w:bCs/>
          <w:sz w:val="24"/>
          <w:szCs w:val="24"/>
        </w:rPr>
        <w:t>.</w:t>
      </w:r>
      <w:r w:rsidR="00CA7189">
        <w:rPr>
          <w:rFonts w:ascii="Times New Roman" w:eastAsia="Times New Roman" w:hAnsi="Times New Roman" w:cs="Times New Roman"/>
          <w:bCs/>
          <w:sz w:val="24"/>
          <w:szCs w:val="24"/>
        </w:rPr>
        <w:t>tml.) un summu, ja maksājums ir veikts par vairākiem pasākumiem vai izdevumu kategorijām</w:t>
      </w:r>
      <w:r w:rsidR="00DA2C3D" w:rsidRPr="00854E7B">
        <w:rPr>
          <w:rFonts w:ascii="Times New Roman" w:eastAsia="Times New Roman" w:hAnsi="Times New Roman" w:cs="Times New Roman"/>
          <w:bCs/>
          <w:sz w:val="24"/>
          <w:szCs w:val="24"/>
        </w:rPr>
        <w:t>;</w:t>
      </w:r>
    </w:p>
    <w:p w:rsidR="00DA2C3D" w:rsidRPr="00854E7B" w:rsidRDefault="00DA2C3D" w:rsidP="00C611B6">
      <w:pPr>
        <w:pStyle w:val="Sarakstarindkopa"/>
        <w:widowControl w:val="0"/>
        <w:numPr>
          <w:ilvl w:val="1"/>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avansa pieprasījums</w:t>
      </w:r>
      <w:r w:rsidR="00CA7189">
        <w:rPr>
          <w:rFonts w:ascii="Times New Roman" w:eastAsia="Times New Roman" w:hAnsi="Times New Roman" w:cs="Times New Roman"/>
          <w:bCs/>
          <w:sz w:val="24"/>
          <w:szCs w:val="24"/>
        </w:rPr>
        <w:t xml:space="preserve"> (ja attiecināms) un</w:t>
      </w:r>
      <w:r w:rsidRPr="00854E7B">
        <w:rPr>
          <w:rFonts w:ascii="Times New Roman" w:eastAsia="Times New Roman" w:hAnsi="Times New Roman" w:cs="Times New Roman"/>
          <w:bCs/>
          <w:sz w:val="24"/>
          <w:szCs w:val="24"/>
        </w:rPr>
        <w:t xml:space="preserve"> avansa norēķins (</w:t>
      </w:r>
      <w:r w:rsidR="006F7D98" w:rsidRPr="00854E7B">
        <w:rPr>
          <w:rFonts w:ascii="Times New Roman" w:eastAsia="Times New Roman" w:hAnsi="Times New Roman" w:cs="Times New Roman"/>
          <w:bCs/>
          <w:sz w:val="24"/>
          <w:szCs w:val="24"/>
        </w:rPr>
        <w:t>attiecas uz avansa maksājumiem</w:t>
      </w:r>
      <w:r w:rsidRPr="00854E7B">
        <w:rPr>
          <w:rFonts w:ascii="Times New Roman" w:eastAsia="Times New Roman" w:hAnsi="Times New Roman" w:cs="Times New Roman"/>
          <w:bCs/>
          <w:sz w:val="24"/>
          <w:szCs w:val="24"/>
        </w:rPr>
        <w:t>).</w:t>
      </w:r>
    </w:p>
    <w:p w:rsidR="00E93BCE" w:rsidRPr="00DF18A4" w:rsidRDefault="00E93BCE" w:rsidP="00C611B6">
      <w:pPr>
        <w:widowControl w:val="0"/>
        <w:tabs>
          <w:tab w:val="left" w:pos="284"/>
        </w:tabs>
        <w:spacing w:after="0" w:line="360" w:lineRule="auto"/>
        <w:jc w:val="both"/>
        <w:outlineLvl w:val="0"/>
        <w:rPr>
          <w:rFonts w:ascii="Times New Roman" w:eastAsia="Times New Roman" w:hAnsi="Times New Roman" w:cs="Times New Roman"/>
          <w:bCs/>
          <w:sz w:val="20"/>
          <w:szCs w:val="20"/>
        </w:rPr>
      </w:pPr>
    </w:p>
    <w:p w:rsidR="002F0646" w:rsidRPr="00C611B6" w:rsidRDefault="00602ABE" w:rsidP="00C611B6">
      <w:pPr>
        <w:pStyle w:val="Sarakstarindkopa"/>
        <w:widowControl w:val="0"/>
        <w:numPr>
          <w:ilvl w:val="0"/>
          <w:numId w:val="1"/>
        </w:numPr>
        <w:tabs>
          <w:tab w:val="left" w:pos="426"/>
        </w:tabs>
        <w:spacing w:after="0" w:line="360" w:lineRule="auto"/>
        <w:ind w:left="0" w:firstLine="0"/>
        <w:jc w:val="center"/>
        <w:outlineLvl w:val="0"/>
        <w:rPr>
          <w:rFonts w:ascii="Times New Roman" w:eastAsia="Times New Roman" w:hAnsi="Times New Roman" w:cs="Times New Roman"/>
          <w:b/>
          <w:bCs/>
          <w:sz w:val="28"/>
          <w:szCs w:val="28"/>
        </w:rPr>
      </w:pPr>
      <w:r w:rsidRPr="00854E7B">
        <w:rPr>
          <w:rFonts w:ascii="Times New Roman" w:eastAsia="Times New Roman" w:hAnsi="Times New Roman" w:cs="Times New Roman"/>
          <w:b/>
          <w:bCs/>
          <w:sz w:val="28"/>
          <w:szCs w:val="28"/>
        </w:rPr>
        <w:t>Tiešās attiecināmās izmaksas</w:t>
      </w:r>
    </w:p>
    <w:p w:rsidR="001F1B43" w:rsidRDefault="00935AD0"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Tiešās attiecināmās izmaksas ir tieši saistītas ar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īstenošanu un tās ir apstiprinātas </w:t>
      </w:r>
      <w:r w:rsidR="00BE34F5">
        <w:rPr>
          <w:rFonts w:ascii="Times New Roman" w:eastAsia="Times New Roman" w:hAnsi="Times New Roman" w:cs="Times New Roman"/>
          <w:bCs/>
          <w:sz w:val="24"/>
          <w:szCs w:val="24"/>
        </w:rPr>
        <w:t>G</w:t>
      </w:r>
      <w:r w:rsidRPr="00854E7B">
        <w:rPr>
          <w:rFonts w:ascii="Times New Roman" w:eastAsia="Times New Roman" w:hAnsi="Times New Roman" w:cs="Times New Roman"/>
          <w:bCs/>
          <w:sz w:val="24"/>
          <w:szCs w:val="24"/>
        </w:rPr>
        <w:t>ranta līguma budžeta tāmē.</w:t>
      </w:r>
    </w:p>
    <w:p w:rsidR="00C611B6" w:rsidRPr="00DF18A4" w:rsidRDefault="00C611B6" w:rsidP="00C611B6">
      <w:pPr>
        <w:pStyle w:val="Sarakstarindkopa"/>
        <w:widowControl w:val="0"/>
        <w:tabs>
          <w:tab w:val="left" w:pos="851"/>
        </w:tabs>
        <w:spacing w:after="0" w:line="360" w:lineRule="auto"/>
        <w:ind w:left="567"/>
        <w:jc w:val="both"/>
        <w:outlineLvl w:val="0"/>
        <w:rPr>
          <w:rFonts w:ascii="Times New Roman" w:eastAsia="Times New Roman" w:hAnsi="Times New Roman" w:cs="Times New Roman"/>
          <w:bCs/>
          <w:sz w:val="10"/>
          <w:szCs w:val="10"/>
        </w:rPr>
      </w:pPr>
    </w:p>
    <w:p w:rsidR="00C611B6" w:rsidRPr="00986502" w:rsidRDefault="00935AD0"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
          <w:bCs/>
          <w:i/>
          <w:sz w:val="24"/>
          <w:szCs w:val="24"/>
        </w:rPr>
      </w:pPr>
      <w:r w:rsidRPr="00986502">
        <w:rPr>
          <w:rFonts w:ascii="Times New Roman" w:eastAsia="Times New Roman" w:hAnsi="Times New Roman" w:cs="Times New Roman"/>
          <w:b/>
          <w:bCs/>
          <w:i/>
          <w:sz w:val="24"/>
          <w:szCs w:val="24"/>
        </w:rPr>
        <w:t>Personāla izmaksas</w:t>
      </w:r>
    </w:p>
    <w:p w:rsidR="00F1117B" w:rsidRPr="00854E7B" w:rsidRDefault="00935AD0" w:rsidP="00C611B6">
      <w:pPr>
        <w:pStyle w:val="Sarakstarindkopa"/>
        <w:widowControl w:val="0"/>
        <w:numPr>
          <w:ilvl w:val="0"/>
          <w:numId w:val="2"/>
        </w:numPr>
        <w:tabs>
          <w:tab w:val="left" w:pos="851"/>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Personāla izmaksas ir attiecināmas tikai uz </w:t>
      </w:r>
      <w:r w:rsidR="00232500" w:rsidRPr="00854E7B">
        <w:rPr>
          <w:rFonts w:ascii="Times New Roman" w:eastAsia="Times New Roman" w:hAnsi="Times New Roman" w:cs="Times New Roman"/>
          <w:bCs/>
          <w:sz w:val="24"/>
          <w:szCs w:val="24"/>
        </w:rPr>
        <w:t xml:space="preserve">tieši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w:t>
      </w:r>
      <w:r w:rsidR="000179AC">
        <w:rPr>
          <w:rFonts w:ascii="Times New Roman" w:eastAsia="Times New Roman" w:hAnsi="Times New Roman" w:cs="Times New Roman"/>
          <w:bCs/>
          <w:sz w:val="24"/>
          <w:szCs w:val="24"/>
        </w:rPr>
        <w:t xml:space="preserve">īstenošanā </w:t>
      </w:r>
      <w:r w:rsidRPr="00854E7B">
        <w:rPr>
          <w:rFonts w:ascii="Times New Roman" w:eastAsia="Times New Roman" w:hAnsi="Times New Roman" w:cs="Times New Roman"/>
          <w:bCs/>
          <w:sz w:val="24"/>
          <w:szCs w:val="24"/>
        </w:rPr>
        <w:t>iesaistītām personām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rojekta vadītājs, koordinators, grāmatvedis, eksperti</w:t>
      </w:r>
      <w:r w:rsidR="00A90C49">
        <w:rPr>
          <w:rFonts w:ascii="Times New Roman" w:eastAsia="Times New Roman" w:hAnsi="Times New Roman" w:cs="Times New Roman"/>
          <w:bCs/>
          <w:sz w:val="24"/>
          <w:szCs w:val="24"/>
        </w:rPr>
        <w:t>/</w:t>
      </w:r>
      <w:r w:rsidRPr="00854E7B">
        <w:rPr>
          <w:rFonts w:ascii="Times New Roman" w:eastAsia="Times New Roman" w:hAnsi="Times New Roman" w:cs="Times New Roman"/>
          <w:bCs/>
          <w:sz w:val="24"/>
          <w:szCs w:val="24"/>
        </w:rPr>
        <w:t>speciālisti</w:t>
      </w:r>
      <w:r w:rsidR="00F1117B" w:rsidRPr="00854E7B">
        <w:rPr>
          <w:rFonts w:ascii="Times New Roman" w:eastAsia="Times New Roman" w:hAnsi="Times New Roman" w:cs="Times New Roman"/>
          <w:bCs/>
          <w:sz w:val="24"/>
          <w:szCs w:val="24"/>
        </w:rPr>
        <w:t>), kas ir darba</w:t>
      </w:r>
      <w:r w:rsidR="001676AC">
        <w:rPr>
          <w:rFonts w:ascii="Times New Roman" w:eastAsia="Times New Roman" w:hAnsi="Times New Roman" w:cs="Times New Roman"/>
          <w:bCs/>
          <w:sz w:val="24"/>
          <w:szCs w:val="24"/>
        </w:rPr>
        <w:t xml:space="preserve"> vai dienesta</w:t>
      </w:r>
      <w:r w:rsidR="00F1117B" w:rsidRPr="00854E7B">
        <w:rPr>
          <w:rFonts w:ascii="Times New Roman" w:eastAsia="Times New Roman" w:hAnsi="Times New Roman" w:cs="Times New Roman"/>
          <w:bCs/>
          <w:sz w:val="24"/>
          <w:szCs w:val="24"/>
        </w:rPr>
        <w:t xml:space="preserve"> tiesiskās attiecībās ar </w:t>
      </w:r>
      <w:r w:rsidR="00C1126B">
        <w:rPr>
          <w:rFonts w:ascii="Times New Roman" w:eastAsia="Times New Roman" w:hAnsi="Times New Roman" w:cs="Times New Roman"/>
          <w:bCs/>
          <w:sz w:val="24"/>
          <w:szCs w:val="24"/>
        </w:rPr>
        <w:t>F</w:t>
      </w:r>
      <w:r w:rsidR="00F1117B" w:rsidRPr="00854E7B">
        <w:rPr>
          <w:rFonts w:ascii="Times New Roman" w:eastAsia="Times New Roman" w:hAnsi="Times New Roman" w:cs="Times New Roman"/>
          <w:bCs/>
          <w:sz w:val="24"/>
          <w:szCs w:val="24"/>
        </w:rPr>
        <w:t>inansējuma saņēmēju.</w:t>
      </w:r>
    </w:p>
    <w:p w:rsidR="00CF7413" w:rsidRPr="00DF18A4" w:rsidRDefault="00CF7413"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F1117B" w:rsidRPr="00854E7B" w:rsidRDefault="00F1117B"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Personāla izmaksas </w:t>
      </w:r>
      <w:r w:rsidR="00BB3CEF" w:rsidRPr="00854E7B">
        <w:rPr>
          <w:rFonts w:ascii="Times New Roman" w:eastAsia="Times New Roman" w:hAnsi="Times New Roman" w:cs="Times New Roman"/>
          <w:bCs/>
          <w:sz w:val="24"/>
          <w:szCs w:val="24"/>
        </w:rPr>
        <w:t>ir attiecināmas, ja tās atbilst</w:t>
      </w:r>
      <w:r w:rsidR="000E3DA9" w:rsidRPr="00854E7B">
        <w:rPr>
          <w:rFonts w:ascii="Times New Roman" w:eastAsia="Times New Roman" w:hAnsi="Times New Roman" w:cs="Times New Roman"/>
          <w:bCs/>
          <w:sz w:val="24"/>
          <w:szCs w:val="24"/>
        </w:rPr>
        <w:t xml:space="preserve"> </w:t>
      </w:r>
      <w:r w:rsidR="00BE34F5">
        <w:rPr>
          <w:rFonts w:ascii="Times New Roman" w:eastAsia="Times New Roman" w:hAnsi="Times New Roman" w:cs="Times New Roman"/>
          <w:bCs/>
          <w:sz w:val="24"/>
          <w:szCs w:val="24"/>
        </w:rPr>
        <w:t>G</w:t>
      </w:r>
      <w:r w:rsidR="000E3DA9" w:rsidRPr="00854E7B">
        <w:rPr>
          <w:rFonts w:ascii="Times New Roman" w:eastAsia="Times New Roman" w:hAnsi="Times New Roman" w:cs="Times New Roman"/>
          <w:bCs/>
          <w:sz w:val="24"/>
          <w:szCs w:val="24"/>
        </w:rPr>
        <w:t>ranta līgumam,</w:t>
      </w:r>
      <w:r w:rsidRPr="00854E7B">
        <w:rPr>
          <w:rFonts w:ascii="Times New Roman" w:eastAsia="Times New Roman" w:hAnsi="Times New Roman" w:cs="Times New Roman"/>
          <w:bCs/>
          <w:sz w:val="24"/>
          <w:szCs w:val="24"/>
        </w:rPr>
        <w:t xml:space="preserve"> </w:t>
      </w:r>
      <w:r w:rsidR="00C1126B">
        <w:rPr>
          <w:rFonts w:ascii="Times New Roman" w:eastAsia="Times New Roman" w:hAnsi="Times New Roman" w:cs="Times New Roman"/>
          <w:bCs/>
          <w:sz w:val="24"/>
          <w:szCs w:val="24"/>
        </w:rPr>
        <w:t>F</w:t>
      </w:r>
      <w:r w:rsidRPr="00854E7B">
        <w:rPr>
          <w:rFonts w:ascii="Times New Roman" w:eastAsia="Times New Roman" w:hAnsi="Times New Roman" w:cs="Times New Roman"/>
          <w:bCs/>
          <w:sz w:val="24"/>
          <w:szCs w:val="24"/>
        </w:rPr>
        <w:t>inansējuma saņēmēja vispārējai atlīdzības sistēmai</w:t>
      </w:r>
      <w:r w:rsidR="000E3DA9" w:rsidRPr="00854E7B">
        <w:rPr>
          <w:rFonts w:ascii="Times New Roman" w:eastAsia="Times New Roman" w:hAnsi="Times New Roman" w:cs="Times New Roman"/>
          <w:bCs/>
          <w:sz w:val="24"/>
          <w:szCs w:val="24"/>
        </w:rPr>
        <w:t xml:space="preserve"> un Latvijas Republikas normatīvo aktu prasībām atlīdzības jomā</w:t>
      </w:r>
      <w:r w:rsidRPr="00854E7B">
        <w:rPr>
          <w:rFonts w:ascii="Times New Roman" w:eastAsia="Times New Roman" w:hAnsi="Times New Roman" w:cs="Times New Roman"/>
          <w:bCs/>
          <w:sz w:val="24"/>
          <w:szCs w:val="24"/>
        </w:rPr>
        <w:t>.</w:t>
      </w:r>
    </w:p>
    <w:p w:rsidR="000F3EDC" w:rsidRPr="00DF18A4" w:rsidRDefault="000F3EDC" w:rsidP="00C611B6">
      <w:pPr>
        <w:pStyle w:val="Sarakstarindkopa"/>
        <w:widowControl w:val="0"/>
        <w:tabs>
          <w:tab w:val="left" w:pos="284"/>
        </w:tabs>
        <w:spacing w:after="0" w:line="360" w:lineRule="auto"/>
        <w:ind w:left="0"/>
        <w:jc w:val="both"/>
        <w:outlineLvl w:val="0"/>
        <w:rPr>
          <w:rFonts w:ascii="Times New Roman" w:eastAsia="Times New Roman" w:hAnsi="Times New Roman" w:cs="Times New Roman"/>
          <w:bCs/>
          <w:sz w:val="10"/>
          <w:szCs w:val="10"/>
        </w:rPr>
      </w:pPr>
    </w:p>
    <w:p w:rsidR="00F1117B" w:rsidRPr="00854E7B" w:rsidRDefault="000F3EDC"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Personāla iesaiste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rojektā var būt:</w:t>
      </w:r>
    </w:p>
    <w:p w:rsidR="000F3EDC" w:rsidRPr="00854E7B" w:rsidRDefault="000F3EDC"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uz pilnu vai daļēju slodzi, attiecīgi no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rojekta sedzot visu vai daļēju atlīdzību;</w:t>
      </w:r>
    </w:p>
    <w:p w:rsidR="006A1C53" w:rsidRPr="00457639" w:rsidRDefault="006A1C53" w:rsidP="006A1C53">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Cs w:val="24"/>
        </w:rPr>
      </w:pPr>
      <w:r w:rsidRPr="00457639">
        <w:rPr>
          <w:rFonts w:ascii="Times New Roman" w:eastAsia="Times New Roman" w:hAnsi="Times New Roman"/>
          <w:bCs/>
          <w:sz w:val="24"/>
          <w:szCs w:val="28"/>
        </w:rPr>
        <w:t>kā virsstundu darbs, no Projekta sedzot atlīdzību par virsstundu darbu, ņemot vērā, ka virsstundu skaits kalendāra mēnesī attiecīgajā Projektā nedrīkst pārsniegt 20 stundas, virsstundu darbu</w:t>
      </w:r>
      <w:r w:rsidRPr="00457639">
        <w:rPr>
          <w:rFonts w:ascii="Times New Roman" w:hAnsi="Times New Roman"/>
          <w:color w:val="000000"/>
          <w:sz w:val="24"/>
          <w:szCs w:val="28"/>
        </w:rPr>
        <w:t xml:space="preserve"> nedrīkst veikt atpūtas, komandējuma, attaisnotas prombūtnes un darba nespējas laikā un virsstundu darbu veic ievērojot Darba likuma 136.</w:t>
      </w:r>
      <w:r>
        <w:rPr>
          <w:rFonts w:ascii="Times New Roman" w:hAnsi="Times New Roman"/>
          <w:color w:val="000000"/>
          <w:sz w:val="24"/>
          <w:szCs w:val="28"/>
        </w:rPr>
        <w:t> </w:t>
      </w:r>
      <w:r w:rsidRPr="00457639">
        <w:rPr>
          <w:rFonts w:ascii="Times New Roman" w:hAnsi="Times New Roman"/>
          <w:color w:val="000000"/>
          <w:sz w:val="24"/>
          <w:szCs w:val="28"/>
        </w:rPr>
        <w:t>panta piektās daļas, 142.</w:t>
      </w:r>
      <w:r>
        <w:rPr>
          <w:rFonts w:ascii="Times New Roman" w:hAnsi="Times New Roman"/>
          <w:color w:val="000000"/>
          <w:sz w:val="24"/>
          <w:szCs w:val="28"/>
        </w:rPr>
        <w:t> </w:t>
      </w:r>
      <w:r w:rsidRPr="00457639">
        <w:rPr>
          <w:rFonts w:ascii="Times New Roman" w:hAnsi="Times New Roman"/>
          <w:color w:val="000000"/>
          <w:sz w:val="24"/>
          <w:szCs w:val="28"/>
        </w:rPr>
        <w:t>panta un 143.</w:t>
      </w:r>
      <w:r>
        <w:rPr>
          <w:rFonts w:ascii="Times New Roman" w:hAnsi="Times New Roman"/>
          <w:color w:val="000000"/>
          <w:sz w:val="24"/>
          <w:szCs w:val="28"/>
        </w:rPr>
        <w:t> </w:t>
      </w:r>
      <w:r w:rsidRPr="00457639">
        <w:rPr>
          <w:rFonts w:ascii="Times New Roman" w:hAnsi="Times New Roman"/>
          <w:color w:val="000000"/>
          <w:sz w:val="24"/>
          <w:szCs w:val="28"/>
        </w:rPr>
        <w:t>panta ierobežojumus;</w:t>
      </w:r>
    </w:p>
    <w:p w:rsidR="00900013" w:rsidRPr="006A1C53" w:rsidRDefault="006A1C53" w:rsidP="006A1C53">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457639">
        <w:rPr>
          <w:rFonts w:ascii="Times New Roman" w:eastAsia="Times New Roman" w:hAnsi="Times New Roman" w:cs="Times New Roman"/>
          <w:bCs/>
          <w:sz w:val="24"/>
          <w:szCs w:val="24"/>
        </w:rPr>
        <w:t>kā papildus amata aprakstā neparedzētu pienākumu pildīšana, no Projekta sedzot atlīdzību par papildus darbu (piemaksu, ņemot vērā, ka piemaksas apmērs mēnesī par papildus darbu attiecīgā Projekta ietvaros nedrīkst pārsniegt 25 %).</w:t>
      </w:r>
    </w:p>
    <w:p w:rsidR="00556E7D" w:rsidRPr="00DF18A4" w:rsidRDefault="00556E7D" w:rsidP="00C611B6">
      <w:pPr>
        <w:pStyle w:val="Sarakstarindkopa"/>
        <w:widowControl w:val="0"/>
        <w:tabs>
          <w:tab w:val="left" w:pos="1134"/>
        </w:tabs>
        <w:spacing w:after="0" w:line="360" w:lineRule="auto"/>
        <w:ind w:left="567"/>
        <w:jc w:val="both"/>
        <w:outlineLvl w:val="0"/>
        <w:rPr>
          <w:rFonts w:ascii="Times New Roman" w:eastAsia="Times New Roman" w:hAnsi="Times New Roman" w:cs="Times New Roman"/>
          <w:bCs/>
          <w:sz w:val="10"/>
          <w:szCs w:val="10"/>
        </w:rPr>
      </w:pPr>
    </w:p>
    <w:p w:rsidR="006A1C53" w:rsidRPr="00457639" w:rsidRDefault="006A1C53" w:rsidP="006A1C53">
      <w:pPr>
        <w:pStyle w:val="Sarakstarindkopa"/>
        <w:widowControl w:val="0"/>
        <w:numPr>
          <w:ilvl w:val="0"/>
          <w:numId w:val="2"/>
        </w:numPr>
        <w:tabs>
          <w:tab w:val="left" w:pos="993"/>
        </w:tabs>
        <w:spacing w:after="0" w:line="360" w:lineRule="auto"/>
        <w:ind w:left="0" w:firstLine="567"/>
        <w:jc w:val="both"/>
        <w:outlineLvl w:val="0"/>
        <w:rPr>
          <w:sz w:val="20"/>
        </w:rPr>
      </w:pPr>
      <w:r w:rsidRPr="00457639">
        <w:rPr>
          <w:rFonts w:ascii="Times New Roman" w:hAnsi="Times New Roman"/>
          <w:color w:val="000000"/>
          <w:sz w:val="24"/>
          <w:szCs w:val="28"/>
        </w:rPr>
        <w:t>Personas iesaiste vienā Projektā nedrīkst būt vienlaicīgi gan kā iesaiste virsstundu darbā, gan kā papildus amata aprakstā neparedzētu pienākumu pildīšana. Gadījumā, ja persona ir iesaistīta vairākos fonda ietvaros apstiprinātajos projektos, šī pielikuma 12.2. un 12.3.</w:t>
      </w:r>
      <w:r>
        <w:rPr>
          <w:rFonts w:ascii="Times New Roman" w:hAnsi="Times New Roman"/>
          <w:color w:val="000000"/>
          <w:sz w:val="24"/>
          <w:szCs w:val="28"/>
        </w:rPr>
        <w:t> </w:t>
      </w:r>
      <w:r w:rsidRPr="00457639">
        <w:rPr>
          <w:rFonts w:ascii="Times New Roman" w:hAnsi="Times New Roman"/>
          <w:color w:val="000000"/>
          <w:sz w:val="24"/>
          <w:szCs w:val="28"/>
        </w:rPr>
        <w:t>apakšpunktā minētie ierobežojumi attiecināmi uz visiem projektiem kopā.</w:t>
      </w:r>
    </w:p>
    <w:p w:rsidR="0015777E" w:rsidRPr="0015777E" w:rsidRDefault="0015777E" w:rsidP="0015777E">
      <w:pPr>
        <w:pStyle w:val="Sarakstarindkopa"/>
        <w:widowControl w:val="0"/>
        <w:tabs>
          <w:tab w:val="left" w:pos="993"/>
        </w:tabs>
        <w:spacing w:after="0" w:line="360" w:lineRule="auto"/>
        <w:ind w:left="567"/>
        <w:jc w:val="both"/>
        <w:outlineLvl w:val="0"/>
        <w:rPr>
          <w:sz w:val="10"/>
          <w:szCs w:val="10"/>
        </w:rPr>
      </w:pPr>
    </w:p>
    <w:p w:rsidR="0015777E" w:rsidRPr="00854E7B" w:rsidRDefault="0015777E" w:rsidP="00C611B6">
      <w:pPr>
        <w:pStyle w:val="Sarakstarindkopa"/>
        <w:widowControl w:val="0"/>
        <w:numPr>
          <w:ilvl w:val="0"/>
          <w:numId w:val="2"/>
        </w:numPr>
        <w:tabs>
          <w:tab w:val="left" w:pos="993"/>
        </w:tabs>
        <w:spacing w:after="0" w:line="360" w:lineRule="auto"/>
        <w:ind w:left="0" w:firstLine="567"/>
        <w:jc w:val="both"/>
        <w:outlineLvl w:val="0"/>
      </w:pPr>
      <w:r>
        <w:rPr>
          <w:rFonts w:ascii="Times New Roman" w:eastAsia="Times New Roman" w:hAnsi="Times New Roman" w:cs="Times New Roman"/>
          <w:sz w:val="24"/>
          <w:szCs w:val="24"/>
          <w:lang w:eastAsia="lv-LV"/>
        </w:rPr>
        <w:t>Projektam</w:t>
      </w:r>
      <w:r w:rsidRPr="001F574E">
        <w:rPr>
          <w:rFonts w:ascii="Times New Roman" w:eastAsia="Times New Roman" w:hAnsi="Times New Roman" w:cs="Times New Roman"/>
          <w:sz w:val="24"/>
          <w:szCs w:val="24"/>
          <w:lang w:eastAsia="lv-LV"/>
        </w:rPr>
        <w:t xml:space="preserve"> piešķirtās personāla izmaksas, piemēram, algas, sociālās apdrošināšanas iemaksas, ir attiecināmas, ja tās nepārsniedz Finansējuma saņēmēja atalgojuma shēmas vidējās likmes</w:t>
      </w:r>
      <w:r>
        <w:rPr>
          <w:rFonts w:ascii="Times New Roman" w:eastAsia="Times New Roman" w:hAnsi="Times New Roman" w:cs="Times New Roman"/>
          <w:sz w:val="24"/>
          <w:szCs w:val="24"/>
          <w:lang w:eastAsia="lv-LV"/>
        </w:rPr>
        <w:t xml:space="preserve">, ja atklātas projektu iesniegumu atlases nolikumā </w:t>
      </w:r>
      <w:r w:rsidR="00DF5A0C">
        <w:rPr>
          <w:rFonts w:ascii="Times New Roman" w:eastAsia="Times New Roman" w:hAnsi="Times New Roman" w:cs="Times New Roman"/>
          <w:sz w:val="24"/>
          <w:szCs w:val="24"/>
          <w:lang w:eastAsia="lv-LV"/>
        </w:rPr>
        <w:t xml:space="preserve">vai ierobežotas projektu iesniegumu atlases uzaicinājumā </w:t>
      </w:r>
      <w:r>
        <w:rPr>
          <w:rFonts w:ascii="Times New Roman" w:eastAsia="Times New Roman" w:hAnsi="Times New Roman" w:cs="Times New Roman"/>
          <w:sz w:val="24"/>
          <w:szCs w:val="24"/>
          <w:lang w:eastAsia="lv-LV"/>
        </w:rPr>
        <w:t>nav noteikts savādāk.</w:t>
      </w:r>
    </w:p>
    <w:p w:rsidR="002C0081" w:rsidRPr="00DF18A4" w:rsidRDefault="002C0081" w:rsidP="00C611B6">
      <w:pPr>
        <w:pStyle w:val="Sarakstarindkopa"/>
        <w:widowControl w:val="0"/>
        <w:tabs>
          <w:tab w:val="left" w:pos="284"/>
        </w:tabs>
        <w:spacing w:after="0" w:line="360" w:lineRule="auto"/>
        <w:ind w:left="709"/>
        <w:jc w:val="both"/>
        <w:outlineLvl w:val="0"/>
        <w:rPr>
          <w:rFonts w:ascii="Times New Roman" w:eastAsia="Times New Roman" w:hAnsi="Times New Roman" w:cs="Times New Roman"/>
          <w:bCs/>
          <w:sz w:val="10"/>
          <w:szCs w:val="10"/>
        </w:rPr>
      </w:pPr>
    </w:p>
    <w:p w:rsidR="000F3EDC" w:rsidRPr="00015E85" w:rsidRDefault="00A55A87"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u w:val="single"/>
        </w:rPr>
      </w:pPr>
      <w:r w:rsidRPr="00015E85">
        <w:rPr>
          <w:rFonts w:ascii="Times New Roman" w:eastAsia="Times New Roman" w:hAnsi="Times New Roman" w:cs="Times New Roman"/>
          <w:bCs/>
          <w:sz w:val="24"/>
          <w:szCs w:val="24"/>
          <w:u w:val="single"/>
        </w:rPr>
        <w:t>Personāla izmaksu attaisnojuma dokumenti:</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rīkojum</w:t>
      </w:r>
      <w:r w:rsidR="000179AC" w:rsidRPr="00A90C49">
        <w:rPr>
          <w:rFonts w:ascii="Times New Roman" w:eastAsia="Times New Roman" w:hAnsi="Times New Roman" w:cs="Times New Roman"/>
          <w:bCs/>
          <w:sz w:val="24"/>
          <w:szCs w:val="24"/>
        </w:rPr>
        <w:t>a dokum</w:t>
      </w:r>
      <w:r w:rsidR="00581DAF" w:rsidRPr="00A90C49">
        <w:rPr>
          <w:rFonts w:ascii="Times New Roman" w:eastAsia="Times New Roman" w:hAnsi="Times New Roman" w:cs="Times New Roman"/>
          <w:bCs/>
          <w:sz w:val="24"/>
          <w:szCs w:val="24"/>
        </w:rPr>
        <w:t>en</w:t>
      </w:r>
      <w:r w:rsidR="000179AC" w:rsidRPr="00A90C49">
        <w:rPr>
          <w:rFonts w:ascii="Times New Roman" w:eastAsia="Times New Roman" w:hAnsi="Times New Roman" w:cs="Times New Roman"/>
          <w:bCs/>
          <w:sz w:val="24"/>
          <w:szCs w:val="24"/>
        </w:rPr>
        <w:t>ts</w:t>
      </w:r>
      <w:r w:rsidRPr="00A90C49">
        <w:rPr>
          <w:rFonts w:ascii="Times New Roman" w:eastAsia="Times New Roman" w:hAnsi="Times New Roman" w:cs="Times New Roman"/>
          <w:bCs/>
          <w:sz w:val="24"/>
          <w:szCs w:val="24"/>
        </w:rPr>
        <w:t xml:space="preserve"> par norīkošanu darbam </w:t>
      </w:r>
      <w:r w:rsidR="003D77F9" w:rsidRPr="00A90C49">
        <w:rPr>
          <w:rFonts w:ascii="Times New Roman" w:eastAsia="Times New Roman" w:hAnsi="Times New Roman" w:cs="Times New Roman"/>
          <w:bCs/>
          <w:sz w:val="24"/>
          <w:szCs w:val="24"/>
        </w:rPr>
        <w:t>P</w:t>
      </w:r>
      <w:r w:rsidRPr="00A90C49">
        <w:rPr>
          <w:rFonts w:ascii="Times New Roman" w:eastAsia="Times New Roman" w:hAnsi="Times New Roman" w:cs="Times New Roman"/>
          <w:bCs/>
          <w:sz w:val="24"/>
          <w:szCs w:val="24"/>
        </w:rPr>
        <w:t>rojektā vai darba līgums*;</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rīkojum</w:t>
      </w:r>
      <w:r w:rsidR="000179AC" w:rsidRPr="00A90C49">
        <w:rPr>
          <w:rFonts w:ascii="Times New Roman" w:eastAsia="Times New Roman" w:hAnsi="Times New Roman" w:cs="Times New Roman"/>
          <w:bCs/>
          <w:sz w:val="24"/>
          <w:szCs w:val="24"/>
        </w:rPr>
        <w:t>a dokuments</w:t>
      </w:r>
      <w:r w:rsidRPr="00A90C49">
        <w:rPr>
          <w:rFonts w:ascii="Times New Roman" w:eastAsia="Times New Roman" w:hAnsi="Times New Roman" w:cs="Times New Roman"/>
          <w:bCs/>
          <w:sz w:val="24"/>
          <w:szCs w:val="24"/>
        </w:rPr>
        <w:t xml:space="preserve"> par virsstundu darba noteikšanu*;</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rīkojum</w:t>
      </w:r>
      <w:r w:rsidR="000179AC" w:rsidRPr="00A90C49">
        <w:rPr>
          <w:rFonts w:ascii="Times New Roman" w:eastAsia="Times New Roman" w:hAnsi="Times New Roman" w:cs="Times New Roman"/>
          <w:bCs/>
          <w:sz w:val="24"/>
          <w:szCs w:val="24"/>
        </w:rPr>
        <w:t>a dokuments</w:t>
      </w:r>
      <w:r w:rsidRPr="00A90C49">
        <w:rPr>
          <w:rFonts w:ascii="Times New Roman" w:eastAsia="Times New Roman" w:hAnsi="Times New Roman" w:cs="Times New Roman"/>
          <w:bCs/>
          <w:sz w:val="24"/>
          <w:szCs w:val="24"/>
        </w:rPr>
        <w:t xml:space="preserve"> par piemaksas apmēra noteikšanu</w:t>
      </w:r>
      <w:r w:rsidR="00697315" w:rsidRPr="00A90C49">
        <w:rPr>
          <w:rFonts w:ascii="Times New Roman" w:eastAsia="Times New Roman" w:hAnsi="Times New Roman" w:cs="Times New Roman"/>
          <w:bCs/>
          <w:sz w:val="24"/>
          <w:szCs w:val="24"/>
        </w:rPr>
        <w:t>*</w:t>
      </w:r>
      <w:r w:rsidRPr="00A90C49">
        <w:rPr>
          <w:rFonts w:ascii="Times New Roman" w:eastAsia="Times New Roman" w:hAnsi="Times New Roman" w:cs="Times New Roman"/>
          <w:bCs/>
          <w:sz w:val="24"/>
          <w:szCs w:val="24"/>
        </w:rPr>
        <w:t>;</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darbinieka</w:t>
      </w:r>
      <w:r w:rsidR="00F962BE" w:rsidRPr="00A90C49">
        <w:rPr>
          <w:rFonts w:ascii="Times New Roman" w:eastAsia="Times New Roman" w:hAnsi="Times New Roman" w:cs="Times New Roman"/>
          <w:bCs/>
          <w:sz w:val="24"/>
          <w:szCs w:val="24"/>
        </w:rPr>
        <w:t xml:space="preserve"> (amatpersonas)</w:t>
      </w:r>
      <w:r w:rsidRPr="00A90C49">
        <w:rPr>
          <w:rFonts w:ascii="Times New Roman" w:eastAsia="Times New Roman" w:hAnsi="Times New Roman" w:cs="Times New Roman"/>
          <w:bCs/>
          <w:sz w:val="24"/>
          <w:szCs w:val="24"/>
        </w:rPr>
        <w:t xml:space="preserve"> sagatavotais Pārskats par paveiktajiem darbiem attiecīgajā </w:t>
      </w:r>
      <w:r w:rsidR="00F962BE" w:rsidRPr="00A90C49">
        <w:rPr>
          <w:rFonts w:ascii="Times New Roman" w:eastAsia="Times New Roman" w:hAnsi="Times New Roman" w:cs="Times New Roman"/>
          <w:bCs/>
          <w:sz w:val="24"/>
          <w:szCs w:val="24"/>
        </w:rPr>
        <w:t xml:space="preserve">kalendāra </w:t>
      </w:r>
      <w:r w:rsidRPr="00A90C49">
        <w:rPr>
          <w:rFonts w:ascii="Times New Roman" w:eastAsia="Times New Roman" w:hAnsi="Times New Roman" w:cs="Times New Roman"/>
          <w:bCs/>
          <w:sz w:val="24"/>
          <w:szCs w:val="24"/>
        </w:rPr>
        <w:t xml:space="preserve">mēnesī, kas ir pietiekoši detalizēts, </w:t>
      </w:r>
      <w:r w:rsidR="00F962BE" w:rsidRPr="00A90C49">
        <w:rPr>
          <w:rFonts w:ascii="Times New Roman" w:eastAsia="Times New Roman" w:hAnsi="Times New Roman" w:cs="Times New Roman"/>
          <w:bCs/>
          <w:sz w:val="24"/>
          <w:szCs w:val="24"/>
        </w:rPr>
        <w:t xml:space="preserve">lai no tā varētu gūt pārliecību par paveiktā darba atbilstību </w:t>
      </w:r>
      <w:r w:rsidRPr="00A90C49">
        <w:rPr>
          <w:rFonts w:ascii="Times New Roman" w:eastAsia="Times New Roman" w:hAnsi="Times New Roman" w:cs="Times New Roman"/>
          <w:bCs/>
          <w:sz w:val="24"/>
          <w:szCs w:val="24"/>
        </w:rPr>
        <w:t>un pamatotību. Pārskats ir jāparaksta un jādatē darbiniekam</w:t>
      </w:r>
      <w:r w:rsidR="00F962BE" w:rsidRPr="00A90C49">
        <w:rPr>
          <w:rFonts w:ascii="Times New Roman" w:eastAsia="Times New Roman" w:hAnsi="Times New Roman" w:cs="Times New Roman"/>
          <w:bCs/>
          <w:sz w:val="24"/>
          <w:szCs w:val="24"/>
        </w:rPr>
        <w:t xml:space="preserve"> (amatpersonai)</w:t>
      </w:r>
      <w:r w:rsidR="00671E5C" w:rsidRPr="00A90C49">
        <w:rPr>
          <w:rFonts w:ascii="Times New Roman" w:eastAsia="Times New Roman" w:hAnsi="Times New Roman" w:cs="Times New Roman"/>
          <w:bCs/>
          <w:sz w:val="24"/>
          <w:szCs w:val="24"/>
        </w:rPr>
        <w:t xml:space="preserve">, viņa tiešajam vadītājam un </w:t>
      </w:r>
      <w:r w:rsidR="003D77F9" w:rsidRPr="00A90C49">
        <w:rPr>
          <w:rFonts w:ascii="Times New Roman" w:eastAsia="Times New Roman" w:hAnsi="Times New Roman" w:cs="Times New Roman"/>
          <w:bCs/>
          <w:sz w:val="24"/>
          <w:szCs w:val="24"/>
        </w:rPr>
        <w:t>P</w:t>
      </w:r>
      <w:r w:rsidRPr="00A90C49">
        <w:rPr>
          <w:rFonts w:ascii="Times New Roman" w:eastAsia="Times New Roman" w:hAnsi="Times New Roman" w:cs="Times New Roman"/>
          <w:bCs/>
          <w:sz w:val="24"/>
          <w:szCs w:val="24"/>
        </w:rPr>
        <w:t>rojekta vadītājam</w:t>
      </w:r>
      <w:r w:rsidR="008209DB" w:rsidRPr="00A90C49">
        <w:rPr>
          <w:rFonts w:ascii="Times New Roman" w:eastAsia="Times New Roman" w:hAnsi="Times New Roman" w:cs="Times New Roman"/>
          <w:bCs/>
          <w:sz w:val="24"/>
          <w:szCs w:val="24"/>
        </w:rPr>
        <w:t xml:space="preserve"> (ja attiecināms)</w:t>
      </w:r>
      <w:r w:rsidRPr="00A90C49">
        <w:rPr>
          <w:rFonts w:ascii="Times New Roman" w:eastAsia="Times New Roman" w:hAnsi="Times New Roman" w:cs="Times New Roman"/>
          <w:bCs/>
          <w:sz w:val="24"/>
          <w:szCs w:val="24"/>
        </w:rPr>
        <w:t>;</w:t>
      </w:r>
    </w:p>
    <w:p w:rsidR="00A55A87"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 xml:space="preserve">darba laika uzskaites tabula ar nostrādāto stundu uzskaitījumu, kas kalpo par pamatu </w:t>
      </w:r>
      <w:r w:rsidR="00AE4EC6" w:rsidRPr="00A90C49">
        <w:rPr>
          <w:rFonts w:ascii="Times New Roman" w:eastAsia="Times New Roman" w:hAnsi="Times New Roman" w:cs="Times New Roman"/>
          <w:bCs/>
          <w:sz w:val="24"/>
          <w:szCs w:val="24"/>
        </w:rPr>
        <w:t xml:space="preserve">atlīdzības </w:t>
      </w:r>
      <w:r w:rsidRPr="00A90C49">
        <w:rPr>
          <w:rFonts w:ascii="Times New Roman" w:eastAsia="Times New Roman" w:hAnsi="Times New Roman" w:cs="Times New Roman"/>
          <w:bCs/>
          <w:sz w:val="24"/>
          <w:szCs w:val="24"/>
        </w:rPr>
        <w:t>aprēķinam;</w:t>
      </w:r>
    </w:p>
    <w:p w:rsidR="00C160C2" w:rsidRPr="00A90C49" w:rsidRDefault="0097375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izziņa</w:t>
      </w:r>
      <w:r w:rsidR="00A55A87" w:rsidRPr="00A90C49">
        <w:rPr>
          <w:rFonts w:ascii="Times New Roman" w:eastAsia="Times New Roman" w:hAnsi="Times New Roman" w:cs="Times New Roman"/>
          <w:bCs/>
          <w:sz w:val="24"/>
          <w:szCs w:val="24"/>
        </w:rPr>
        <w:t xml:space="preserve"> nodokļu a</w:t>
      </w:r>
      <w:r>
        <w:rPr>
          <w:rFonts w:ascii="Times New Roman" w:eastAsia="Times New Roman" w:hAnsi="Times New Roman" w:cs="Times New Roman"/>
          <w:bCs/>
          <w:sz w:val="24"/>
          <w:szCs w:val="24"/>
        </w:rPr>
        <w:t>prēķināšanai (apgādājamo skaits,</w:t>
      </w:r>
      <w:r w:rsidR="00A55A87" w:rsidRPr="00A90C49">
        <w:rPr>
          <w:rFonts w:ascii="Times New Roman" w:eastAsia="Times New Roman" w:hAnsi="Times New Roman" w:cs="Times New Roman"/>
          <w:bCs/>
          <w:sz w:val="24"/>
          <w:szCs w:val="24"/>
        </w:rPr>
        <w:t xml:space="preserve"> vai ir pensionārs</w:t>
      </w:r>
      <w:r w:rsidR="002F4910" w:rsidRPr="00A90C49">
        <w:rPr>
          <w:rFonts w:ascii="Times New Roman" w:eastAsia="Times New Roman" w:hAnsi="Times New Roman" w:cs="Times New Roman"/>
          <w:bCs/>
          <w:sz w:val="24"/>
          <w:szCs w:val="24"/>
        </w:rPr>
        <w:t xml:space="preserve">, izdienas </w:t>
      </w:r>
      <w:r w:rsidR="001403EE" w:rsidRPr="00A90C49">
        <w:rPr>
          <w:rFonts w:ascii="Times New Roman" w:eastAsia="Times New Roman" w:hAnsi="Times New Roman" w:cs="Times New Roman"/>
          <w:bCs/>
          <w:sz w:val="24"/>
          <w:szCs w:val="24"/>
        </w:rPr>
        <w:t>pensionārs vai</w:t>
      </w:r>
      <w:r w:rsidR="00F962BE" w:rsidRPr="00A90C49">
        <w:rPr>
          <w:rFonts w:ascii="Times New Roman" w:eastAsia="Times New Roman" w:hAnsi="Times New Roman" w:cs="Times New Roman"/>
          <w:bCs/>
          <w:sz w:val="24"/>
          <w:szCs w:val="24"/>
        </w:rPr>
        <w:t xml:space="preserve"> noteikta</w:t>
      </w:r>
      <w:r w:rsidR="001403EE" w:rsidRPr="00A90C49">
        <w:rPr>
          <w:rFonts w:ascii="Times New Roman" w:eastAsia="Times New Roman" w:hAnsi="Times New Roman" w:cs="Times New Roman"/>
          <w:bCs/>
          <w:sz w:val="24"/>
          <w:szCs w:val="24"/>
        </w:rPr>
        <w:t xml:space="preserve"> invaliditāte); </w:t>
      </w:r>
    </w:p>
    <w:p w:rsidR="00581DAF" w:rsidRPr="00A90C49" w:rsidRDefault="00F962BE"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darba samaksas aprēķins, kurā redzama katram darbiniekam (amatpersonai) aprēķinātā darba samaksa, nostrādāto dienu vai stundu skaits, darba ņēmēja VSAOI, iedzīvotāju ienākuma nodoklis, darba devēja VSAOI un izmaksājamā summa vai darba samaksas aprēķina kopsavilkums;</w:t>
      </w:r>
    </w:p>
    <w:p w:rsidR="002C0081"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 xml:space="preserve">darba </w:t>
      </w:r>
      <w:r w:rsidR="006A7C32" w:rsidRPr="00A90C49">
        <w:rPr>
          <w:rFonts w:ascii="Times New Roman" w:eastAsia="Times New Roman" w:hAnsi="Times New Roman" w:cs="Times New Roman"/>
          <w:bCs/>
          <w:sz w:val="24"/>
          <w:szCs w:val="24"/>
        </w:rPr>
        <w:t xml:space="preserve">samaksas izmaksu saraksts </w:t>
      </w:r>
      <w:r w:rsidR="006A7C32" w:rsidRPr="00562ADE">
        <w:rPr>
          <w:rFonts w:ascii="Times New Roman" w:eastAsia="Times New Roman" w:hAnsi="Times New Roman" w:cs="Times New Roman"/>
          <w:bCs/>
          <w:sz w:val="24"/>
          <w:szCs w:val="24"/>
        </w:rPr>
        <w:t>kredītiestādei</w:t>
      </w:r>
      <w:r w:rsidRPr="00562ADE">
        <w:rPr>
          <w:rFonts w:ascii="Times New Roman" w:eastAsia="Times New Roman" w:hAnsi="Times New Roman" w:cs="Times New Roman"/>
          <w:bCs/>
          <w:sz w:val="24"/>
          <w:szCs w:val="24"/>
        </w:rPr>
        <w:t xml:space="preserve"> </w:t>
      </w:r>
      <w:r w:rsidRPr="00A90C49">
        <w:rPr>
          <w:rFonts w:ascii="Times New Roman" w:eastAsia="Times New Roman" w:hAnsi="Times New Roman" w:cs="Times New Roman"/>
          <w:bCs/>
          <w:sz w:val="24"/>
          <w:szCs w:val="24"/>
        </w:rPr>
        <w:t xml:space="preserve">(vārds, uzvārds, konts kredītiestādē, izmaksājamā summa); </w:t>
      </w:r>
    </w:p>
    <w:p w:rsidR="002C0081" w:rsidRPr="00A90C49" w:rsidRDefault="00A55A8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 xml:space="preserve">grāmatvedības </w:t>
      </w:r>
      <w:smartTag w:uri="schemas-tilde-lv/tildestengine" w:element="veidnes">
        <w:smartTagPr>
          <w:attr w:name="id" w:val="-1"/>
          <w:attr w:name="baseform" w:val="izziņa"/>
          <w:attr w:name="text" w:val="izziņa"/>
        </w:smartTagPr>
        <w:r w:rsidRPr="00A90C49">
          <w:rPr>
            <w:rFonts w:ascii="Times New Roman" w:eastAsia="Times New Roman" w:hAnsi="Times New Roman" w:cs="Times New Roman"/>
            <w:bCs/>
            <w:sz w:val="24"/>
            <w:szCs w:val="24"/>
          </w:rPr>
          <w:t>izziņa</w:t>
        </w:r>
      </w:smartTag>
      <w:r w:rsidRPr="00A90C49">
        <w:rPr>
          <w:rFonts w:ascii="Times New Roman" w:eastAsia="Times New Roman" w:hAnsi="Times New Roman" w:cs="Times New Roman"/>
          <w:bCs/>
          <w:sz w:val="24"/>
          <w:szCs w:val="24"/>
        </w:rPr>
        <w:t>, ja veikts pārrēķins;</w:t>
      </w:r>
    </w:p>
    <w:p w:rsidR="001F1B43" w:rsidRDefault="00A55A87"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A90C49">
        <w:rPr>
          <w:rFonts w:ascii="Times New Roman" w:eastAsia="Times New Roman" w:hAnsi="Times New Roman" w:cs="Times New Roman"/>
          <w:bCs/>
          <w:sz w:val="24"/>
          <w:szCs w:val="24"/>
        </w:rPr>
        <w:t xml:space="preserve">citi ar </w:t>
      </w:r>
      <w:r w:rsidR="000E3DA9" w:rsidRPr="00A90C49">
        <w:rPr>
          <w:rFonts w:ascii="Times New Roman" w:eastAsia="Times New Roman" w:hAnsi="Times New Roman" w:cs="Times New Roman"/>
          <w:bCs/>
          <w:sz w:val="24"/>
          <w:szCs w:val="24"/>
        </w:rPr>
        <w:t xml:space="preserve">atlīdzības </w:t>
      </w:r>
      <w:r w:rsidRPr="00A90C49">
        <w:rPr>
          <w:rFonts w:ascii="Times New Roman" w:eastAsia="Times New Roman" w:hAnsi="Times New Roman" w:cs="Times New Roman"/>
          <w:bCs/>
          <w:sz w:val="24"/>
          <w:szCs w:val="24"/>
        </w:rPr>
        <w:t>aprēķināšanu saistītie dokumenti (slimības lapas, rīkojum</w:t>
      </w:r>
      <w:r w:rsidR="000179AC" w:rsidRPr="00A90C49">
        <w:rPr>
          <w:rFonts w:ascii="Times New Roman" w:eastAsia="Times New Roman" w:hAnsi="Times New Roman" w:cs="Times New Roman"/>
          <w:bCs/>
          <w:sz w:val="24"/>
          <w:szCs w:val="24"/>
        </w:rPr>
        <w:t>a dokumenti</w:t>
      </w:r>
      <w:r w:rsidRPr="00A90C49">
        <w:rPr>
          <w:rFonts w:ascii="Times New Roman" w:eastAsia="Times New Roman" w:hAnsi="Times New Roman" w:cs="Times New Roman"/>
          <w:bCs/>
          <w:sz w:val="24"/>
          <w:szCs w:val="24"/>
        </w:rPr>
        <w:t xml:space="preserve"> par atvaļinājumu, par piemaksām, prēmijām un tml.)</w:t>
      </w:r>
      <w:r w:rsidR="002C0081" w:rsidRPr="00A90C49">
        <w:rPr>
          <w:rFonts w:ascii="Times New Roman" w:eastAsia="Times New Roman" w:hAnsi="Times New Roman" w:cs="Times New Roman"/>
          <w:bCs/>
          <w:sz w:val="24"/>
          <w:szCs w:val="24"/>
        </w:rPr>
        <w:t>.</w:t>
      </w:r>
    </w:p>
    <w:p w:rsidR="002F0646" w:rsidRPr="00DF18A4" w:rsidRDefault="002F0646" w:rsidP="00C611B6">
      <w:pPr>
        <w:pStyle w:val="Sarakstarindkopa"/>
        <w:widowControl w:val="0"/>
        <w:tabs>
          <w:tab w:val="left" w:pos="1276"/>
        </w:tabs>
        <w:spacing w:after="0" w:line="360" w:lineRule="auto"/>
        <w:ind w:left="567"/>
        <w:jc w:val="both"/>
        <w:outlineLvl w:val="0"/>
        <w:rPr>
          <w:rFonts w:ascii="Times New Roman" w:eastAsia="Times New Roman" w:hAnsi="Times New Roman" w:cs="Times New Roman"/>
          <w:bCs/>
          <w:sz w:val="20"/>
          <w:szCs w:val="20"/>
        </w:rPr>
      </w:pPr>
    </w:p>
    <w:p w:rsidR="00AE4EC6" w:rsidRPr="00986502" w:rsidRDefault="002C0081" w:rsidP="00C611B6">
      <w:pPr>
        <w:widowControl w:val="0"/>
        <w:spacing w:after="0" w:line="360" w:lineRule="auto"/>
        <w:jc w:val="both"/>
        <w:rPr>
          <w:rFonts w:ascii="Times New Roman" w:eastAsia="Times New Roman" w:hAnsi="Times New Roman" w:cs="Times New Roman"/>
          <w:bCs/>
          <w:i/>
          <w:sz w:val="24"/>
          <w:szCs w:val="24"/>
        </w:rPr>
      </w:pPr>
      <w:r w:rsidRPr="00986502">
        <w:rPr>
          <w:rFonts w:ascii="Times New Roman" w:hAnsi="Times New Roman" w:cs="Times New Roman"/>
          <w:b/>
          <w:i/>
          <w:sz w:val="24"/>
          <w:szCs w:val="24"/>
        </w:rPr>
        <w:t>Aprīkojuma</w:t>
      </w:r>
      <w:r w:rsidR="00AE4EC6" w:rsidRPr="00986502">
        <w:rPr>
          <w:rFonts w:ascii="Times New Roman" w:hAnsi="Times New Roman" w:cs="Times New Roman"/>
          <w:b/>
          <w:i/>
          <w:sz w:val="24"/>
          <w:szCs w:val="24"/>
        </w:rPr>
        <w:t xml:space="preserve"> un nekustamā īpašuma</w:t>
      </w:r>
      <w:r w:rsidRPr="00986502">
        <w:rPr>
          <w:rFonts w:ascii="Times New Roman" w:hAnsi="Times New Roman" w:cs="Times New Roman"/>
          <w:b/>
          <w:i/>
          <w:sz w:val="24"/>
          <w:szCs w:val="24"/>
        </w:rPr>
        <w:t xml:space="preserve"> izmaksas</w:t>
      </w:r>
    </w:p>
    <w:p w:rsidR="00CA5A28" w:rsidRPr="00854E7B" w:rsidRDefault="002C0081"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Izmaksas par </w:t>
      </w:r>
      <w:r w:rsidR="00DF5C9D">
        <w:rPr>
          <w:rFonts w:ascii="Times New Roman" w:eastAsia="Times New Roman" w:hAnsi="Times New Roman" w:cs="Times New Roman"/>
          <w:bCs/>
          <w:sz w:val="24"/>
          <w:szCs w:val="24"/>
        </w:rPr>
        <w:t>a</w:t>
      </w:r>
      <w:r w:rsidRPr="00854E7B">
        <w:rPr>
          <w:rFonts w:ascii="Times New Roman" w:eastAsia="Times New Roman" w:hAnsi="Times New Roman" w:cs="Times New Roman"/>
          <w:bCs/>
          <w:sz w:val="24"/>
          <w:szCs w:val="24"/>
        </w:rPr>
        <w:t>prīkojuma iegādi ir attiecināmas, ja</w:t>
      </w:r>
      <w:r w:rsidR="000E3DA9" w:rsidRPr="00854E7B">
        <w:rPr>
          <w:rFonts w:ascii="Times New Roman" w:eastAsia="Times New Roman" w:hAnsi="Times New Roman" w:cs="Times New Roman"/>
          <w:bCs/>
          <w:sz w:val="24"/>
          <w:szCs w:val="24"/>
        </w:rPr>
        <w:t xml:space="preserve"> </w:t>
      </w:r>
      <w:r w:rsidR="0098423A">
        <w:rPr>
          <w:rFonts w:ascii="Times New Roman" w:eastAsia="Times New Roman" w:hAnsi="Times New Roman" w:cs="Times New Roman"/>
          <w:bCs/>
          <w:sz w:val="24"/>
          <w:szCs w:val="24"/>
        </w:rPr>
        <w:t xml:space="preserve">aprīkojuma </w:t>
      </w:r>
      <w:r w:rsidR="000E3DA9" w:rsidRPr="00854E7B">
        <w:rPr>
          <w:rFonts w:ascii="Times New Roman" w:eastAsia="Times New Roman" w:hAnsi="Times New Roman" w:cs="Times New Roman"/>
          <w:bCs/>
          <w:sz w:val="24"/>
          <w:szCs w:val="24"/>
        </w:rPr>
        <w:t xml:space="preserve">iegāde ir paredzēta </w:t>
      </w:r>
      <w:r w:rsidR="00BE34F5">
        <w:rPr>
          <w:rFonts w:ascii="Times New Roman" w:eastAsia="Times New Roman" w:hAnsi="Times New Roman" w:cs="Times New Roman"/>
          <w:bCs/>
          <w:sz w:val="24"/>
          <w:szCs w:val="24"/>
        </w:rPr>
        <w:t>G</w:t>
      </w:r>
      <w:r w:rsidR="000E3DA9" w:rsidRPr="00854E7B">
        <w:rPr>
          <w:rFonts w:ascii="Times New Roman" w:eastAsia="Times New Roman" w:hAnsi="Times New Roman" w:cs="Times New Roman"/>
          <w:bCs/>
          <w:sz w:val="24"/>
          <w:szCs w:val="24"/>
        </w:rPr>
        <w:t>ranta līgumā</w:t>
      </w:r>
      <w:r w:rsidR="0098423A" w:rsidRPr="00854E7B">
        <w:rPr>
          <w:rFonts w:ascii="Times New Roman" w:eastAsia="Times New Roman" w:hAnsi="Times New Roman" w:cs="Times New Roman"/>
          <w:bCs/>
          <w:sz w:val="24"/>
          <w:szCs w:val="24"/>
        </w:rPr>
        <w:t xml:space="preserve"> un</w:t>
      </w:r>
      <w:r w:rsidRPr="00854E7B">
        <w:rPr>
          <w:rFonts w:ascii="Times New Roman" w:eastAsia="Times New Roman" w:hAnsi="Times New Roman" w:cs="Times New Roman"/>
          <w:bCs/>
          <w:sz w:val="24"/>
          <w:szCs w:val="24"/>
        </w:rPr>
        <w:t xml:space="preserve"> aprīkojums tiek </w:t>
      </w:r>
      <w:r w:rsidRPr="00D06043">
        <w:rPr>
          <w:rFonts w:ascii="Times New Roman" w:eastAsia="Times New Roman" w:hAnsi="Times New Roman" w:cs="Times New Roman"/>
          <w:bCs/>
          <w:sz w:val="24"/>
          <w:szCs w:val="24"/>
        </w:rPr>
        <w:t>izman</w:t>
      </w:r>
      <w:r w:rsidR="003F3C64" w:rsidRPr="00D06043">
        <w:rPr>
          <w:rFonts w:ascii="Times New Roman" w:eastAsia="Times New Roman" w:hAnsi="Times New Roman" w:cs="Times New Roman"/>
          <w:bCs/>
          <w:sz w:val="24"/>
          <w:szCs w:val="24"/>
        </w:rPr>
        <w:t xml:space="preserve">tots </w:t>
      </w:r>
      <w:r w:rsidR="003D77F9">
        <w:rPr>
          <w:rFonts w:ascii="Times New Roman" w:eastAsia="Times New Roman" w:hAnsi="Times New Roman" w:cs="Times New Roman"/>
          <w:bCs/>
          <w:sz w:val="24"/>
          <w:szCs w:val="24"/>
        </w:rPr>
        <w:t>P</w:t>
      </w:r>
      <w:r w:rsidR="003F3C64" w:rsidRPr="00D06043">
        <w:rPr>
          <w:rFonts w:ascii="Times New Roman" w:eastAsia="Times New Roman" w:hAnsi="Times New Roman" w:cs="Times New Roman"/>
          <w:bCs/>
          <w:sz w:val="24"/>
          <w:szCs w:val="24"/>
        </w:rPr>
        <w:t>rojekta īstenošanai</w:t>
      </w:r>
      <w:r w:rsidR="0098423A">
        <w:rPr>
          <w:rFonts w:ascii="Times New Roman" w:eastAsia="Times New Roman" w:hAnsi="Times New Roman" w:cs="Times New Roman"/>
          <w:bCs/>
          <w:sz w:val="24"/>
          <w:szCs w:val="24"/>
        </w:rPr>
        <w:t xml:space="preserve">, kā arī </w:t>
      </w:r>
      <w:r w:rsidR="0098423A" w:rsidRPr="00854E7B">
        <w:rPr>
          <w:rFonts w:ascii="Times New Roman" w:eastAsia="Times New Roman" w:hAnsi="Times New Roman" w:cs="Times New Roman"/>
          <w:bCs/>
          <w:sz w:val="24"/>
          <w:szCs w:val="24"/>
        </w:rPr>
        <w:t xml:space="preserve">tas ir iegādāts ne vēlāk kā </w:t>
      </w:r>
      <w:r w:rsidR="0098423A">
        <w:rPr>
          <w:rFonts w:ascii="Times New Roman" w:eastAsia="Times New Roman" w:hAnsi="Times New Roman" w:cs="Times New Roman"/>
          <w:bCs/>
          <w:sz w:val="24"/>
          <w:szCs w:val="24"/>
        </w:rPr>
        <w:t>3</w:t>
      </w:r>
      <w:r w:rsidR="0098423A" w:rsidRPr="00854E7B">
        <w:rPr>
          <w:rFonts w:ascii="Times New Roman" w:eastAsia="Times New Roman" w:hAnsi="Times New Roman" w:cs="Times New Roman"/>
          <w:bCs/>
          <w:sz w:val="24"/>
          <w:szCs w:val="24"/>
        </w:rPr>
        <w:t xml:space="preserve"> (</w:t>
      </w:r>
      <w:r w:rsidR="0098423A">
        <w:rPr>
          <w:rFonts w:ascii="Times New Roman" w:eastAsia="Times New Roman" w:hAnsi="Times New Roman" w:cs="Times New Roman"/>
          <w:bCs/>
          <w:sz w:val="24"/>
          <w:szCs w:val="24"/>
        </w:rPr>
        <w:t>trīs</w:t>
      </w:r>
      <w:r w:rsidR="0098423A" w:rsidRPr="00854E7B">
        <w:rPr>
          <w:rFonts w:ascii="Times New Roman" w:eastAsia="Times New Roman" w:hAnsi="Times New Roman" w:cs="Times New Roman"/>
          <w:bCs/>
          <w:sz w:val="24"/>
          <w:szCs w:val="24"/>
        </w:rPr>
        <w:t xml:space="preserve">) mēnešus </w:t>
      </w:r>
      <w:r w:rsidR="0098423A">
        <w:rPr>
          <w:rFonts w:ascii="Times New Roman" w:eastAsia="Times New Roman" w:hAnsi="Times New Roman" w:cs="Times New Roman"/>
          <w:bCs/>
          <w:sz w:val="24"/>
          <w:szCs w:val="24"/>
        </w:rPr>
        <w:t>pirms projekta pabeigšanas</w:t>
      </w:r>
      <w:r w:rsidR="005858D2">
        <w:rPr>
          <w:rFonts w:ascii="Times New Roman" w:eastAsia="Times New Roman" w:hAnsi="Times New Roman" w:cs="Times New Roman"/>
          <w:bCs/>
          <w:sz w:val="24"/>
          <w:szCs w:val="24"/>
        </w:rPr>
        <w:t>.</w:t>
      </w:r>
      <w:r w:rsidR="00AE4EC6" w:rsidRPr="00854E7B">
        <w:rPr>
          <w:rFonts w:ascii="Times New Roman" w:eastAsia="Times New Roman" w:hAnsi="Times New Roman" w:cs="Times New Roman"/>
          <w:bCs/>
          <w:sz w:val="24"/>
          <w:szCs w:val="24"/>
        </w:rPr>
        <w:t xml:space="preserve"> Ja aprīkojuma iegāde ir plānota </w:t>
      </w:r>
      <w:r w:rsidR="003D77F9">
        <w:rPr>
          <w:rFonts w:ascii="Times New Roman" w:eastAsia="Times New Roman" w:hAnsi="Times New Roman" w:cs="Times New Roman"/>
          <w:bCs/>
          <w:sz w:val="24"/>
          <w:szCs w:val="24"/>
        </w:rPr>
        <w:t>P</w:t>
      </w:r>
      <w:r w:rsidR="00AE4EC6" w:rsidRPr="00854E7B">
        <w:rPr>
          <w:rFonts w:ascii="Times New Roman" w:eastAsia="Times New Roman" w:hAnsi="Times New Roman" w:cs="Times New Roman"/>
          <w:bCs/>
          <w:sz w:val="24"/>
          <w:szCs w:val="24"/>
        </w:rPr>
        <w:t xml:space="preserve">rojekta vadībai un administrēšanai, izmaksas </w:t>
      </w:r>
      <w:r w:rsidR="00F962BE">
        <w:rPr>
          <w:rFonts w:ascii="Times New Roman" w:eastAsia="Times New Roman" w:hAnsi="Times New Roman" w:cs="Times New Roman"/>
          <w:bCs/>
          <w:sz w:val="24"/>
          <w:szCs w:val="24"/>
        </w:rPr>
        <w:t>p</w:t>
      </w:r>
      <w:r w:rsidR="00AE4EC6" w:rsidRPr="00854E7B">
        <w:rPr>
          <w:rFonts w:ascii="Times New Roman" w:eastAsia="Times New Roman" w:hAnsi="Times New Roman" w:cs="Times New Roman"/>
          <w:bCs/>
          <w:sz w:val="24"/>
          <w:szCs w:val="24"/>
        </w:rPr>
        <w:t>ar aprīkojuma iegādi ir attiecinām</w:t>
      </w:r>
      <w:r w:rsidR="0098423A">
        <w:rPr>
          <w:rFonts w:ascii="Times New Roman" w:eastAsia="Times New Roman" w:hAnsi="Times New Roman" w:cs="Times New Roman"/>
          <w:bCs/>
          <w:sz w:val="24"/>
          <w:szCs w:val="24"/>
        </w:rPr>
        <w:t>a</w:t>
      </w:r>
      <w:r w:rsidR="00AE4EC6" w:rsidRPr="00854E7B">
        <w:rPr>
          <w:rFonts w:ascii="Times New Roman" w:eastAsia="Times New Roman" w:hAnsi="Times New Roman" w:cs="Times New Roman"/>
          <w:bCs/>
          <w:sz w:val="24"/>
          <w:szCs w:val="24"/>
        </w:rPr>
        <w:t>s</w:t>
      </w:r>
      <w:r w:rsidR="005858D2">
        <w:rPr>
          <w:rFonts w:ascii="Times New Roman" w:eastAsia="Times New Roman" w:hAnsi="Times New Roman" w:cs="Times New Roman"/>
          <w:bCs/>
          <w:sz w:val="24"/>
          <w:szCs w:val="24"/>
        </w:rPr>
        <w:t xml:space="preserve"> uz Netiešo izdevumu kategoriju</w:t>
      </w:r>
      <w:r w:rsidR="00AE4EC6" w:rsidRPr="00854E7B">
        <w:rPr>
          <w:rFonts w:ascii="Times New Roman" w:eastAsia="Times New Roman" w:hAnsi="Times New Roman" w:cs="Times New Roman"/>
          <w:bCs/>
          <w:sz w:val="24"/>
          <w:szCs w:val="24"/>
        </w:rPr>
        <w:t>.</w:t>
      </w:r>
    </w:p>
    <w:p w:rsidR="00CA5A28" w:rsidRPr="00DF18A4" w:rsidRDefault="00CA5A28" w:rsidP="00C611B6">
      <w:pPr>
        <w:pStyle w:val="Sarakstarindkopa"/>
        <w:widowControl w:val="0"/>
        <w:tabs>
          <w:tab w:val="left" w:pos="426"/>
        </w:tabs>
        <w:spacing w:after="0" w:line="360" w:lineRule="auto"/>
        <w:ind w:left="0"/>
        <w:jc w:val="both"/>
        <w:outlineLvl w:val="0"/>
        <w:rPr>
          <w:rFonts w:ascii="Times New Roman" w:eastAsia="Times New Roman" w:hAnsi="Times New Roman" w:cs="Times New Roman"/>
          <w:bCs/>
          <w:sz w:val="10"/>
          <w:szCs w:val="10"/>
        </w:rPr>
      </w:pPr>
    </w:p>
    <w:p w:rsidR="00CA5A28" w:rsidRPr="00854E7B" w:rsidRDefault="00CA5A28"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lang w:eastAsia="lv-LV"/>
        </w:rPr>
        <w:t xml:space="preserve">Izmaksas attiecībā uz aprīkojumu, kas iegādāts pirms </w:t>
      </w:r>
      <w:r w:rsidR="003D77F9">
        <w:rPr>
          <w:rFonts w:ascii="Times New Roman" w:eastAsia="Times New Roman" w:hAnsi="Times New Roman" w:cs="Times New Roman"/>
          <w:bCs/>
          <w:sz w:val="24"/>
          <w:szCs w:val="24"/>
          <w:lang w:eastAsia="lv-LV"/>
        </w:rPr>
        <w:t>P</w:t>
      </w:r>
      <w:r w:rsidRPr="00854E7B">
        <w:rPr>
          <w:rFonts w:ascii="Times New Roman" w:eastAsia="Times New Roman" w:hAnsi="Times New Roman" w:cs="Times New Roman"/>
          <w:bCs/>
          <w:sz w:val="24"/>
          <w:szCs w:val="24"/>
          <w:lang w:eastAsia="lv-LV"/>
        </w:rPr>
        <w:t xml:space="preserve">rojekta uzsākšanas, bet </w:t>
      </w:r>
      <w:r w:rsidR="00B11CF4">
        <w:rPr>
          <w:rFonts w:ascii="Times New Roman" w:eastAsia="Times New Roman" w:hAnsi="Times New Roman" w:cs="Times New Roman"/>
          <w:bCs/>
          <w:sz w:val="24"/>
          <w:szCs w:val="24"/>
          <w:lang w:eastAsia="lv-LV"/>
        </w:rPr>
        <w:t xml:space="preserve">kuru izmanto </w:t>
      </w:r>
      <w:r w:rsidR="003D77F9">
        <w:rPr>
          <w:rFonts w:ascii="Times New Roman" w:eastAsia="Times New Roman" w:hAnsi="Times New Roman" w:cs="Times New Roman"/>
          <w:bCs/>
          <w:sz w:val="24"/>
          <w:szCs w:val="24"/>
          <w:lang w:eastAsia="lv-LV"/>
        </w:rPr>
        <w:t>P</w:t>
      </w:r>
      <w:r w:rsidR="00B11CF4" w:rsidRPr="00D06043">
        <w:rPr>
          <w:rFonts w:ascii="Times New Roman" w:eastAsia="Times New Roman" w:hAnsi="Times New Roman" w:cs="Times New Roman"/>
          <w:bCs/>
          <w:sz w:val="24"/>
          <w:szCs w:val="24"/>
          <w:lang w:eastAsia="lv-LV"/>
        </w:rPr>
        <w:t>rojekta mērķiem</w:t>
      </w:r>
      <w:r w:rsidRPr="00D06043">
        <w:rPr>
          <w:rFonts w:ascii="Times New Roman" w:eastAsia="Times New Roman" w:hAnsi="Times New Roman" w:cs="Times New Roman"/>
          <w:bCs/>
          <w:sz w:val="24"/>
          <w:szCs w:val="24"/>
          <w:lang w:eastAsia="lv-LV"/>
        </w:rPr>
        <w:t xml:space="preserve">, </w:t>
      </w:r>
      <w:r w:rsidRPr="00D06043">
        <w:rPr>
          <w:rFonts w:ascii="Times New Roman" w:eastAsia="Times New Roman" w:hAnsi="Times New Roman" w:cs="Times New Roman"/>
          <w:bCs/>
          <w:sz w:val="24"/>
          <w:szCs w:val="24"/>
        </w:rPr>
        <w:t>ir</w:t>
      </w:r>
      <w:r w:rsidRPr="00854E7B">
        <w:rPr>
          <w:rFonts w:ascii="Times New Roman" w:eastAsia="Times New Roman" w:hAnsi="Times New Roman" w:cs="Times New Roman"/>
          <w:bCs/>
          <w:sz w:val="24"/>
          <w:szCs w:val="24"/>
          <w:lang w:eastAsia="lv-LV"/>
        </w:rPr>
        <w:t xml:space="preserve"> attiecināmas, pamatojoties uz nolietojuma norakstījumiem. </w:t>
      </w:r>
      <w:r w:rsidR="000E3DA9" w:rsidRPr="00854E7B">
        <w:rPr>
          <w:rFonts w:ascii="Times New Roman" w:eastAsia="Times New Roman" w:hAnsi="Times New Roman" w:cs="Times New Roman"/>
          <w:bCs/>
          <w:sz w:val="24"/>
          <w:szCs w:val="24"/>
          <w:lang w:eastAsia="lv-LV"/>
        </w:rPr>
        <w:t xml:space="preserve">Iegādes un nolietojuma </w:t>
      </w:r>
      <w:r w:rsidRPr="00854E7B">
        <w:rPr>
          <w:rFonts w:ascii="Times New Roman" w:eastAsia="Times New Roman" w:hAnsi="Times New Roman" w:cs="Times New Roman"/>
          <w:bCs/>
          <w:sz w:val="24"/>
          <w:szCs w:val="24"/>
          <w:lang w:eastAsia="lv-LV"/>
        </w:rPr>
        <w:t xml:space="preserve">izmaksas nav attiecināmas, ja aprīkojums iegādāts, izmantojot </w:t>
      </w:r>
      <w:r w:rsidR="001005E2">
        <w:rPr>
          <w:rFonts w:ascii="Times New Roman" w:eastAsia="Times New Roman" w:hAnsi="Times New Roman" w:cs="Times New Roman"/>
          <w:bCs/>
          <w:sz w:val="24"/>
          <w:szCs w:val="24"/>
          <w:lang w:eastAsia="lv-LV"/>
        </w:rPr>
        <w:t xml:space="preserve">citu </w:t>
      </w:r>
      <w:r w:rsidRPr="00854E7B">
        <w:rPr>
          <w:rFonts w:ascii="Times New Roman" w:eastAsia="Times New Roman" w:hAnsi="Times New Roman" w:cs="Times New Roman"/>
          <w:bCs/>
          <w:sz w:val="24"/>
          <w:szCs w:val="24"/>
          <w:lang w:eastAsia="lv-LV"/>
        </w:rPr>
        <w:t>Eiropas Savienības finansējumu.</w:t>
      </w:r>
    </w:p>
    <w:p w:rsidR="00CA5A28" w:rsidRPr="00DF18A4" w:rsidRDefault="00CA5A28" w:rsidP="00C611B6">
      <w:pPr>
        <w:pStyle w:val="Sarakstarindkopa"/>
        <w:widowControl w:val="0"/>
        <w:tabs>
          <w:tab w:val="left" w:pos="426"/>
        </w:tabs>
        <w:spacing w:after="0" w:line="360" w:lineRule="auto"/>
        <w:ind w:left="0"/>
        <w:jc w:val="both"/>
        <w:outlineLvl w:val="0"/>
        <w:rPr>
          <w:rFonts w:ascii="Times New Roman" w:eastAsia="Times New Roman" w:hAnsi="Times New Roman" w:cs="Times New Roman"/>
          <w:bCs/>
          <w:sz w:val="10"/>
          <w:szCs w:val="10"/>
        </w:rPr>
      </w:pPr>
    </w:p>
    <w:p w:rsidR="00CA5A28" w:rsidRPr="00854E7B" w:rsidRDefault="00CA5A28"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lang w:eastAsia="lv-LV"/>
        </w:rPr>
        <w:t xml:space="preserve">Aprīkojuma iegādes </w:t>
      </w:r>
      <w:r w:rsidR="000E3DA9" w:rsidRPr="00854E7B">
        <w:rPr>
          <w:rFonts w:ascii="Times New Roman" w:eastAsia="Times New Roman" w:hAnsi="Times New Roman" w:cs="Times New Roman"/>
          <w:bCs/>
          <w:sz w:val="24"/>
          <w:szCs w:val="24"/>
          <w:lang w:eastAsia="lv-LV"/>
        </w:rPr>
        <w:t>izmaksām jā</w:t>
      </w:r>
      <w:r w:rsidRPr="00854E7B">
        <w:rPr>
          <w:rFonts w:ascii="Times New Roman" w:eastAsia="Times New Roman" w:hAnsi="Times New Roman" w:cs="Times New Roman"/>
          <w:bCs/>
          <w:sz w:val="24"/>
          <w:szCs w:val="24"/>
          <w:lang w:eastAsia="lv-LV"/>
        </w:rPr>
        <w:t>atbilst vidējai tirgus cenai.</w:t>
      </w:r>
      <w:r w:rsidR="000E3DA9" w:rsidRPr="00854E7B">
        <w:rPr>
          <w:rFonts w:ascii="Times New Roman" w:eastAsia="Times New Roman" w:hAnsi="Times New Roman" w:cs="Times New Roman"/>
          <w:bCs/>
          <w:sz w:val="24"/>
          <w:szCs w:val="24"/>
          <w:lang w:eastAsia="lv-LV"/>
        </w:rPr>
        <w:t xml:space="preserve"> </w:t>
      </w:r>
      <w:r w:rsidR="00CD4A13">
        <w:rPr>
          <w:rFonts w:ascii="Times New Roman" w:eastAsia="Times New Roman" w:hAnsi="Times New Roman" w:cs="Times New Roman"/>
          <w:bCs/>
          <w:sz w:val="24"/>
          <w:szCs w:val="24"/>
          <w:lang w:eastAsia="lv-LV"/>
        </w:rPr>
        <w:t>Aprīkojuma i</w:t>
      </w:r>
      <w:r w:rsidR="000E3DA9" w:rsidRPr="00854E7B">
        <w:rPr>
          <w:rFonts w:ascii="Times New Roman" w:eastAsia="Times New Roman" w:hAnsi="Times New Roman" w:cs="Times New Roman"/>
          <w:bCs/>
          <w:sz w:val="24"/>
          <w:szCs w:val="24"/>
          <w:lang w:eastAsia="lv-LV"/>
        </w:rPr>
        <w:t xml:space="preserve">egādei ir jābūt veiktai, ievērojot tiesību aktu </w:t>
      </w:r>
      <w:r w:rsidR="000E3DA9" w:rsidRPr="00854E7B">
        <w:rPr>
          <w:rFonts w:ascii="Times New Roman" w:eastAsia="Times New Roman" w:hAnsi="Times New Roman" w:cs="Times New Roman"/>
          <w:bCs/>
          <w:sz w:val="24"/>
          <w:szCs w:val="24"/>
        </w:rPr>
        <w:t>publisko</w:t>
      </w:r>
      <w:r w:rsidR="000E3DA9" w:rsidRPr="00854E7B">
        <w:rPr>
          <w:rFonts w:ascii="Times New Roman" w:eastAsia="Times New Roman" w:hAnsi="Times New Roman" w:cs="Times New Roman"/>
          <w:bCs/>
          <w:sz w:val="24"/>
          <w:szCs w:val="24"/>
          <w:lang w:eastAsia="lv-LV"/>
        </w:rPr>
        <w:t xml:space="preserve"> iepirkumu jomā prasības.</w:t>
      </w:r>
      <w:r w:rsidRPr="00854E7B">
        <w:rPr>
          <w:rFonts w:ascii="Times New Roman" w:eastAsia="Times New Roman" w:hAnsi="Times New Roman" w:cs="Times New Roman"/>
          <w:bCs/>
          <w:sz w:val="24"/>
          <w:szCs w:val="24"/>
          <w:lang w:eastAsia="lv-LV"/>
        </w:rPr>
        <w:t xml:space="preserve"> </w:t>
      </w:r>
      <w:r w:rsidR="000E3DA9" w:rsidRPr="00854E7B">
        <w:rPr>
          <w:rFonts w:ascii="Times New Roman" w:eastAsia="Times New Roman" w:hAnsi="Times New Roman" w:cs="Times New Roman"/>
          <w:bCs/>
          <w:sz w:val="24"/>
          <w:szCs w:val="24"/>
          <w:lang w:eastAsia="lv-LV"/>
        </w:rPr>
        <w:t>Nolietojums jā</w:t>
      </w:r>
      <w:r w:rsidRPr="00854E7B">
        <w:rPr>
          <w:rFonts w:ascii="Times New Roman" w:eastAsia="Times New Roman" w:hAnsi="Times New Roman" w:cs="Times New Roman"/>
          <w:bCs/>
          <w:sz w:val="24"/>
          <w:szCs w:val="24"/>
          <w:lang w:eastAsia="lv-LV"/>
        </w:rPr>
        <w:t>aprēķina</w:t>
      </w:r>
      <w:r w:rsidR="000E3DA9" w:rsidRPr="00854E7B">
        <w:rPr>
          <w:rFonts w:ascii="Times New Roman" w:eastAsia="Times New Roman" w:hAnsi="Times New Roman" w:cs="Times New Roman"/>
          <w:bCs/>
          <w:sz w:val="24"/>
          <w:szCs w:val="24"/>
          <w:lang w:eastAsia="lv-LV"/>
        </w:rPr>
        <w:t>,</w:t>
      </w:r>
      <w:r w:rsidRPr="00854E7B">
        <w:rPr>
          <w:rFonts w:ascii="Times New Roman" w:eastAsia="Times New Roman" w:hAnsi="Times New Roman" w:cs="Times New Roman"/>
          <w:bCs/>
          <w:sz w:val="24"/>
          <w:szCs w:val="24"/>
          <w:lang w:eastAsia="lv-LV"/>
        </w:rPr>
        <w:t xml:space="preserve"> </w:t>
      </w:r>
      <w:r w:rsidR="000E3DA9" w:rsidRPr="00854E7B">
        <w:rPr>
          <w:rFonts w:ascii="Times New Roman" w:eastAsia="Times New Roman" w:hAnsi="Times New Roman" w:cs="Times New Roman"/>
          <w:bCs/>
          <w:sz w:val="24"/>
          <w:szCs w:val="24"/>
          <w:lang w:eastAsia="lv-LV"/>
        </w:rPr>
        <w:t>ievērojot tiesību aktu gr</w:t>
      </w:r>
      <w:r w:rsidR="000E3DA9" w:rsidRPr="00854E7B">
        <w:rPr>
          <w:rFonts w:ascii="Times New Roman" w:eastAsia="Times New Roman" w:hAnsi="Times New Roman" w:cs="Times New Roman"/>
          <w:bCs/>
          <w:sz w:val="24"/>
          <w:szCs w:val="24"/>
        </w:rPr>
        <w:t>āmatvedības</w:t>
      </w:r>
      <w:r w:rsidR="000E3DA9" w:rsidRPr="00854E7B">
        <w:rPr>
          <w:rFonts w:ascii="Times New Roman" w:eastAsia="Times New Roman" w:hAnsi="Times New Roman" w:cs="Times New Roman"/>
          <w:bCs/>
          <w:sz w:val="24"/>
          <w:szCs w:val="24"/>
          <w:lang w:eastAsia="lv-LV"/>
        </w:rPr>
        <w:t xml:space="preserve"> jomā prasības</w:t>
      </w:r>
      <w:r w:rsidRPr="00854E7B">
        <w:rPr>
          <w:rFonts w:ascii="Times New Roman" w:eastAsia="Times New Roman" w:hAnsi="Times New Roman" w:cs="Times New Roman"/>
          <w:bCs/>
          <w:sz w:val="24"/>
          <w:szCs w:val="24"/>
          <w:lang w:eastAsia="lv-LV"/>
        </w:rPr>
        <w:t>.</w:t>
      </w:r>
    </w:p>
    <w:p w:rsidR="00AE4EC6" w:rsidRPr="00DF18A4" w:rsidRDefault="00AE4EC6" w:rsidP="00C611B6">
      <w:pPr>
        <w:pStyle w:val="Sarakstarindkopa"/>
        <w:widowControl w:val="0"/>
        <w:tabs>
          <w:tab w:val="left" w:pos="426"/>
        </w:tabs>
        <w:spacing w:after="0" w:line="360" w:lineRule="auto"/>
        <w:ind w:left="0"/>
        <w:jc w:val="both"/>
        <w:outlineLvl w:val="0"/>
        <w:rPr>
          <w:rFonts w:ascii="Times New Roman" w:eastAsia="Times New Roman" w:hAnsi="Times New Roman" w:cs="Times New Roman"/>
          <w:bCs/>
          <w:sz w:val="10"/>
          <w:szCs w:val="10"/>
        </w:rPr>
      </w:pPr>
    </w:p>
    <w:p w:rsidR="00AE4EC6" w:rsidRPr="00854E7B" w:rsidRDefault="00AE4EC6"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Nekustamā īpašuma iegādes, būvniecības vai renovācijas </w:t>
      </w:r>
      <w:r w:rsidRPr="00D06043">
        <w:rPr>
          <w:rFonts w:ascii="Times New Roman" w:eastAsia="Times New Roman" w:hAnsi="Times New Roman" w:cs="Times New Roman"/>
          <w:bCs/>
          <w:sz w:val="24"/>
          <w:szCs w:val="24"/>
        </w:rPr>
        <w:t>izmaksas ir attiecināmas tikai, ja</w:t>
      </w:r>
      <w:r w:rsidR="00900013" w:rsidRPr="00D06043">
        <w:rPr>
          <w:rFonts w:ascii="Times New Roman" w:eastAsia="Times New Roman" w:hAnsi="Times New Roman" w:cs="Times New Roman"/>
          <w:bCs/>
          <w:sz w:val="24"/>
          <w:szCs w:val="24"/>
        </w:rPr>
        <w:t xml:space="preserve"> tas ir paredzēts fonda nacionālajā programmā</w:t>
      </w:r>
      <w:r w:rsidR="006913BB" w:rsidRPr="00D06043">
        <w:rPr>
          <w:rFonts w:ascii="Times New Roman" w:eastAsia="Times New Roman" w:hAnsi="Times New Roman" w:cs="Times New Roman"/>
          <w:bCs/>
          <w:sz w:val="24"/>
          <w:szCs w:val="24"/>
        </w:rPr>
        <w:t xml:space="preserve">, </w:t>
      </w:r>
      <w:r w:rsidR="00900013" w:rsidRPr="00D06043">
        <w:rPr>
          <w:rFonts w:ascii="Times New Roman" w:eastAsia="Times New Roman" w:hAnsi="Times New Roman" w:cs="Times New Roman"/>
          <w:bCs/>
          <w:sz w:val="24"/>
          <w:szCs w:val="24"/>
        </w:rPr>
        <w:t xml:space="preserve">un </w:t>
      </w:r>
      <w:r w:rsidR="006913BB" w:rsidRPr="00D06043">
        <w:rPr>
          <w:rFonts w:ascii="Times New Roman" w:eastAsia="Times New Roman" w:hAnsi="Times New Roman" w:cs="Times New Roman"/>
          <w:bCs/>
          <w:sz w:val="24"/>
          <w:szCs w:val="24"/>
        </w:rPr>
        <w:t>ta</w:t>
      </w:r>
      <w:r w:rsidRPr="00D06043">
        <w:rPr>
          <w:rFonts w:ascii="Times New Roman" w:eastAsia="Times New Roman" w:hAnsi="Times New Roman" w:cs="Times New Roman"/>
          <w:bCs/>
          <w:sz w:val="24"/>
          <w:szCs w:val="24"/>
        </w:rPr>
        <w:t xml:space="preserve">m ir būtiska loma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rojekta mērķu sasniegšanā</w:t>
      </w:r>
      <w:r w:rsidRPr="00854E7B">
        <w:rPr>
          <w:rFonts w:ascii="Times New Roman" w:eastAsia="Times New Roman" w:hAnsi="Times New Roman" w:cs="Times New Roman"/>
          <w:bCs/>
          <w:sz w:val="24"/>
          <w:szCs w:val="24"/>
        </w:rPr>
        <w:t xml:space="preserve"> un tas iepriekš nav iegādāts ar Ei</w:t>
      </w:r>
      <w:r w:rsidR="00FF496D">
        <w:rPr>
          <w:rFonts w:ascii="Times New Roman" w:eastAsia="Times New Roman" w:hAnsi="Times New Roman" w:cs="Times New Roman"/>
          <w:bCs/>
          <w:sz w:val="24"/>
          <w:szCs w:val="24"/>
        </w:rPr>
        <w:t>ropas Savienības finansējumu</w:t>
      </w:r>
      <w:r w:rsidRPr="00854E7B">
        <w:rPr>
          <w:rFonts w:ascii="Times New Roman" w:eastAsia="Times New Roman" w:hAnsi="Times New Roman" w:cs="Times New Roman"/>
          <w:bCs/>
          <w:sz w:val="24"/>
          <w:szCs w:val="24"/>
        </w:rPr>
        <w:t>.</w:t>
      </w:r>
    </w:p>
    <w:p w:rsidR="00AE4EC6" w:rsidRPr="00DF18A4" w:rsidRDefault="00AE4EC6" w:rsidP="00C611B6">
      <w:pPr>
        <w:pStyle w:val="Sarakstarindkopa"/>
        <w:widowControl w:val="0"/>
        <w:spacing w:after="0" w:line="360" w:lineRule="auto"/>
        <w:rPr>
          <w:rFonts w:ascii="Times New Roman" w:eastAsia="Times New Roman" w:hAnsi="Times New Roman" w:cs="Times New Roman"/>
          <w:bCs/>
          <w:sz w:val="10"/>
          <w:szCs w:val="10"/>
        </w:rPr>
      </w:pPr>
    </w:p>
    <w:p w:rsidR="00AE4EC6" w:rsidRPr="00854E7B" w:rsidRDefault="00AE4EC6"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Nekustamā īpašuma nomas izmaksas ir attiecināmas tikai tad, ja tas ir b</w:t>
      </w:r>
      <w:r w:rsidRPr="00D06043">
        <w:rPr>
          <w:rFonts w:ascii="Times New Roman" w:eastAsia="Times New Roman" w:hAnsi="Times New Roman" w:cs="Times New Roman"/>
          <w:bCs/>
          <w:sz w:val="24"/>
          <w:szCs w:val="24"/>
        </w:rPr>
        <w:t xml:space="preserve">ūtiski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 xml:space="preserve">rojekta mērķu sasniegšanai, ja tas ir paredzēts </w:t>
      </w:r>
      <w:r w:rsidR="002C376D">
        <w:rPr>
          <w:rFonts w:ascii="Times New Roman" w:eastAsia="Times New Roman" w:hAnsi="Times New Roman" w:cs="Times New Roman"/>
          <w:bCs/>
          <w:sz w:val="24"/>
          <w:szCs w:val="24"/>
        </w:rPr>
        <w:t>G</w:t>
      </w:r>
      <w:r w:rsidRPr="00D06043">
        <w:rPr>
          <w:rFonts w:ascii="Times New Roman" w:eastAsia="Times New Roman" w:hAnsi="Times New Roman" w:cs="Times New Roman"/>
          <w:bCs/>
          <w:sz w:val="24"/>
          <w:szCs w:val="24"/>
        </w:rPr>
        <w:t xml:space="preserve">ranta līgumā un attiecīgā nekustamā īpašuma objekts  iepriekš nav iegādāts </w:t>
      </w:r>
      <w:r w:rsidR="00FF496D" w:rsidRPr="00D06043">
        <w:rPr>
          <w:rFonts w:ascii="Times New Roman" w:eastAsia="Times New Roman" w:hAnsi="Times New Roman" w:cs="Times New Roman"/>
          <w:bCs/>
          <w:sz w:val="24"/>
          <w:szCs w:val="24"/>
        </w:rPr>
        <w:t>ar Eiropas Savienības finansējumu</w:t>
      </w:r>
      <w:r w:rsidRPr="00D06043">
        <w:rPr>
          <w:rFonts w:ascii="Times New Roman" w:eastAsia="Times New Roman" w:hAnsi="Times New Roman" w:cs="Times New Roman"/>
          <w:bCs/>
          <w:sz w:val="24"/>
          <w:szCs w:val="24"/>
        </w:rPr>
        <w:t xml:space="preserve">. Ja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 xml:space="preserve">rojekta mērķiem tiek izmantota tikai daļa no nekustamā īpašuma objekta, uz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rojektu attiecināma attiecīgā proporcija</w:t>
      </w:r>
      <w:r w:rsidRPr="00854E7B">
        <w:rPr>
          <w:rFonts w:ascii="Times New Roman" w:eastAsia="Times New Roman" w:hAnsi="Times New Roman" w:cs="Times New Roman"/>
          <w:bCs/>
          <w:sz w:val="24"/>
          <w:szCs w:val="24"/>
        </w:rPr>
        <w:t xml:space="preserve">. Nekustamā īpašuma izmaksas, kas ir nepieciešamas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 xml:space="preserve">rojekta vadībai un administrēšanai, ir attiecināmas kā </w:t>
      </w:r>
      <w:r w:rsidR="003D77F9">
        <w:rPr>
          <w:rFonts w:ascii="Times New Roman" w:eastAsia="Times New Roman" w:hAnsi="Times New Roman" w:cs="Times New Roman"/>
          <w:bCs/>
          <w:sz w:val="24"/>
          <w:szCs w:val="24"/>
        </w:rPr>
        <w:t>P</w:t>
      </w:r>
      <w:r w:rsidRPr="00854E7B">
        <w:rPr>
          <w:rFonts w:ascii="Times New Roman" w:eastAsia="Times New Roman" w:hAnsi="Times New Roman" w:cs="Times New Roman"/>
          <w:bCs/>
          <w:sz w:val="24"/>
          <w:szCs w:val="24"/>
        </w:rPr>
        <w:t>rojekta netiešās izmaksas.</w:t>
      </w:r>
    </w:p>
    <w:p w:rsidR="00CF7413" w:rsidRPr="00DF18A4" w:rsidRDefault="00CF7413" w:rsidP="00C611B6">
      <w:pPr>
        <w:pStyle w:val="Sarakstarindkopa"/>
        <w:widowControl w:val="0"/>
        <w:spacing w:after="0" w:line="360" w:lineRule="auto"/>
        <w:rPr>
          <w:rFonts w:ascii="Times New Roman" w:eastAsia="Times New Roman" w:hAnsi="Times New Roman" w:cs="Times New Roman"/>
          <w:bCs/>
          <w:sz w:val="10"/>
          <w:szCs w:val="10"/>
        </w:rPr>
      </w:pPr>
    </w:p>
    <w:p w:rsidR="00CA5A28" w:rsidRPr="00015E85" w:rsidRDefault="00CA5A28" w:rsidP="00C611B6">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Cs/>
          <w:sz w:val="24"/>
          <w:szCs w:val="24"/>
          <w:u w:val="single"/>
        </w:rPr>
      </w:pPr>
      <w:r w:rsidRPr="00015E85">
        <w:rPr>
          <w:rFonts w:ascii="Times New Roman" w:eastAsia="Times New Roman" w:hAnsi="Times New Roman" w:cs="Times New Roman"/>
          <w:bCs/>
          <w:sz w:val="24"/>
          <w:szCs w:val="24"/>
          <w:u w:val="single"/>
        </w:rPr>
        <w:t>Aprīkojuma iegādes</w:t>
      </w:r>
      <w:r w:rsidR="00AE4EC6" w:rsidRPr="00015E85">
        <w:rPr>
          <w:rFonts w:ascii="Times New Roman" w:eastAsia="Times New Roman" w:hAnsi="Times New Roman" w:cs="Times New Roman"/>
          <w:bCs/>
          <w:sz w:val="24"/>
          <w:szCs w:val="24"/>
          <w:u w:val="single"/>
        </w:rPr>
        <w:t xml:space="preserve">/nolietojuma, nekustamā īpašuma iegādes, būvniecības, renovācijas vai nomas </w:t>
      </w:r>
      <w:r w:rsidR="002F4910" w:rsidRPr="00015E85">
        <w:rPr>
          <w:rFonts w:ascii="Times New Roman" w:eastAsia="Times New Roman" w:hAnsi="Times New Roman" w:cs="Times New Roman"/>
          <w:bCs/>
          <w:sz w:val="24"/>
          <w:szCs w:val="24"/>
          <w:u w:val="single"/>
        </w:rPr>
        <w:t xml:space="preserve">izmaksu </w:t>
      </w:r>
      <w:r w:rsidRPr="00015E85">
        <w:rPr>
          <w:rFonts w:ascii="Times New Roman" w:eastAsia="Times New Roman" w:hAnsi="Times New Roman" w:cs="Times New Roman"/>
          <w:bCs/>
          <w:sz w:val="24"/>
          <w:szCs w:val="24"/>
          <w:u w:val="single"/>
        </w:rPr>
        <w:t>attaisnojuma dokumenti:</w:t>
      </w:r>
    </w:p>
    <w:p w:rsidR="00CA5A28" w:rsidRPr="00562ADE" w:rsidRDefault="00CA5A2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līgums (ja attiecināms)*;</w:t>
      </w:r>
    </w:p>
    <w:p w:rsidR="00CA5A28" w:rsidRPr="00562ADE" w:rsidRDefault="00CA5A2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līguma izpildes nodrošinājums (ja tas paredzēts līgumā)*;</w:t>
      </w:r>
    </w:p>
    <w:p w:rsidR="00CA5A28" w:rsidRPr="00562ADE" w:rsidRDefault="00CA5A2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pavadzīme vai rēķins, čeks (ja attiecināms);</w:t>
      </w:r>
    </w:p>
    <w:p w:rsidR="00CA5A28" w:rsidRPr="00562ADE" w:rsidRDefault="00CA5A28"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pavadzīme un/vai pieņemšanas-nodošanas </w:t>
      </w:r>
      <w:smartTag w:uri="schemas-tilde-lv/tildestengine" w:element="veidnes">
        <w:smartTagPr>
          <w:attr w:name="id" w:val="-1"/>
          <w:attr w:name="baseform" w:val="akts"/>
          <w:attr w:name="text" w:val="akts"/>
        </w:smartTagPr>
        <w:r w:rsidRPr="00562ADE">
          <w:rPr>
            <w:rFonts w:ascii="Times New Roman" w:eastAsia="Times New Roman" w:hAnsi="Times New Roman" w:cs="Times New Roman"/>
            <w:bCs/>
            <w:sz w:val="24"/>
            <w:szCs w:val="24"/>
          </w:rPr>
          <w:t>akts</w:t>
        </w:r>
      </w:smartTag>
      <w:r w:rsidRPr="00562ADE">
        <w:rPr>
          <w:rFonts w:ascii="Times New Roman" w:eastAsia="Times New Roman" w:hAnsi="Times New Roman" w:cs="Times New Roman"/>
          <w:bCs/>
          <w:sz w:val="24"/>
          <w:szCs w:val="24"/>
        </w:rPr>
        <w:t xml:space="preserve"> (ja paredzēts līgumā), kas apliecina preču saņemšanu;</w:t>
      </w:r>
    </w:p>
    <w:p w:rsidR="002547AE" w:rsidRPr="00562ADE" w:rsidRDefault="002547AE"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apliecinājums, ka aprīkojums vai nekustamais īpašums tiks izmantots </w:t>
      </w:r>
      <w:r w:rsidR="003D77F9" w:rsidRPr="00562ADE">
        <w:rPr>
          <w:rFonts w:ascii="Times New Roman" w:eastAsia="Times New Roman" w:hAnsi="Times New Roman" w:cs="Times New Roman"/>
          <w:bCs/>
          <w:sz w:val="24"/>
          <w:szCs w:val="24"/>
        </w:rPr>
        <w:t>P</w:t>
      </w:r>
      <w:r w:rsidRPr="00562ADE">
        <w:rPr>
          <w:rFonts w:ascii="Times New Roman" w:eastAsia="Times New Roman" w:hAnsi="Times New Roman" w:cs="Times New Roman"/>
          <w:bCs/>
          <w:sz w:val="24"/>
          <w:szCs w:val="24"/>
        </w:rPr>
        <w:t xml:space="preserve">rojekta mērķiem </w:t>
      </w:r>
      <w:r w:rsidR="002C376D" w:rsidRPr="00562ADE">
        <w:rPr>
          <w:rFonts w:ascii="Times New Roman" w:eastAsia="Times New Roman" w:hAnsi="Times New Roman" w:cs="Times New Roman"/>
          <w:bCs/>
          <w:sz w:val="24"/>
          <w:szCs w:val="24"/>
        </w:rPr>
        <w:t>G</w:t>
      </w:r>
      <w:r w:rsidR="00ED303E" w:rsidRPr="00562ADE">
        <w:rPr>
          <w:rFonts w:ascii="Times New Roman" w:eastAsia="Times New Roman" w:hAnsi="Times New Roman" w:cs="Times New Roman"/>
          <w:bCs/>
          <w:sz w:val="24"/>
          <w:szCs w:val="24"/>
        </w:rPr>
        <w:t>ranta</w:t>
      </w:r>
      <w:r w:rsidRPr="00562ADE">
        <w:rPr>
          <w:rFonts w:ascii="Times New Roman" w:eastAsia="Times New Roman" w:hAnsi="Times New Roman" w:cs="Times New Roman"/>
          <w:bCs/>
          <w:sz w:val="24"/>
          <w:szCs w:val="24"/>
        </w:rPr>
        <w:t xml:space="preserve"> līgumā noteikto laika posmu arī pēc </w:t>
      </w:r>
      <w:r w:rsidR="003D77F9" w:rsidRPr="00562ADE">
        <w:rPr>
          <w:rFonts w:ascii="Times New Roman" w:eastAsia="Times New Roman" w:hAnsi="Times New Roman" w:cs="Times New Roman"/>
          <w:bCs/>
          <w:sz w:val="24"/>
          <w:szCs w:val="24"/>
        </w:rPr>
        <w:t>P</w:t>
      </w:r>
      <w:r w:rsidRPr="00562ADE">
        <w:rPr>
          <w:rFonts w:ascii="Times New Roman" w:eastAsia="Times New Roman" w:hAnsi="Times New Roman" w:cs="Times New Roman"/>
          <w:bCs/>
          <w:sz w:val="24"/>
          <w:szCs w:val="24"/>
        </w:rPr>
        <w:t xml:space="preserve">rojekta </w:t>
      </w:r>
      <w:r w:rsidR="000179AC" w:rsidRPr="00562ADE">
        <w:rPr>
          <w:rFonts w:ascii="Times New Roman" w:eastAsia="Times New Roman" w:hAnsi="Times New Roman" w:cs="Times New Roman"/>
          <w:bCs/>
          <w:sz w:val="24"/>
          <w:szCs w:val="24"/>
        </w:rPr>
        <w:t xml:space="preserve">īstenošanas </w:t>
      </w:r>
      <w:r w:rsidRPr="00562ADE">
        <w:rPr>
          <w:rFonts w:ascii="Times New Roman" w:eastAsia="Times New Roman" w:hAnsi="Times New Roman" w:cs="Times New Roman"/>
          <w:bCs/>
          <w:sz w:val="24"/>
          <w:szCs w:val="24"/>
        </w:rPr>
        <w:t>pabeigšanas (ja attiecināms)*;</w:t>
      </w:r>
    </w:p>
    <w:p w:rsidR="002547AE" w:rsidRPr="00562ADE" w:rsidRDefault="002547AE"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no neatkarīga kvalificēta novērtētāja vai </w:t>
      </w:r>
      <w:r w:rsidR="001A73ED">
        <w:rPr>
          <w:rFonts w:ascii="Times New Roman" w:eastAsia="Times New Roman" w:hAnsi="Times New Roman" w:cs="Times New Roman"/>
          <w:bCs/>
          <w:sz w:val="24"/>
          <w:szCs w:val="24"/>
        </w:rPr>
        <w:t>finansējuma saņēmēja</w:t>
      </w:r>
      <w:r w:rsidRPr="00562ADE">
        <w:rPr>
          <w:rFonts w:ascii="Times New Roman" w:eastAsia="Times New Roman" w:hAnsi="Times New Roman" w:cs="Times New Roman"/>
          <w:bCs/>
          <w:sz w:val="24"/>
          <w:szCs w:val="24"/>
        </w:rPr>
        <w:t xml:space="preserve"> apliecinājums, kurā norādīts, ka cena nepārsniedz tirgus vērtību (nekustamā īpašuma iegādes gadījumā)*;</w:t>
      </w:r>
    </w:p>
    <w:p w:rsidR="007B4CD7" w:rsidRPr="00562ADE" w:rsidRDefault="007B4CD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ziņojums (piemēram, būvuzraudzības, autoruzraudzības ziņojums vai tml.);</w:t>
      </w:r>
    </w:p>
    <w:p w:rsidR="007B4CD7" w:rsidRPr="00562ADE" w:rsidRDefault="007B4CD7"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būvdarbu gadījumā – akts par objekta pieņemšanu ekspluatācijā</w:t>
      </w:r>
      <w:r w:rsidR="00ED303E" w:rsidRPr="00562ADE">
        <w:rPr>
          <w:rFonts w:ascii="Times New Roman" w:eastAsia="Times New Roman" w:hAnsi="Times New Roman" w:cs="Times New Roman"/>
          <w:bCs/>
          <w:sz w:val="24"/>
          <w:szCs w:val="24"/>
        </w:rPr>
        <w:t>;</w:t>
      </w:r>
    </w:p>
    <w:p w:rsidR="002547AE" w:rsidRPr="00562ADE" w:rsidRDefault="002547AE"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apliecinājums, ka nekust</w:t>
      </w:r>
      <w:r w:rsidR="00CD4A13" w:rsidRPr="00562ADE">
        <w:rPr>
          <w:rFonts w:ascii="Times New Roman" w:eastAsia="Times New Roman" w:hAnsi="Times New Roman" w:cs="Times New Roman"/>
          <w:bCs/>
          <w:sz w:val="24"/>
          <w:szCs w:val="24"/>
        </w:rPr>
        <w:t>a</w:t>
      </w:r>
      <w:r w:rsidRPr="00562ADE">
        <w:rPr>
          <w:rFonts w:ascii="Times New Roman" w:eastAsia="Times New Roman" w:hAnsi="Times New Roman" w:cs="Times New Roman"/>
          <w:bCs/>
          <w:sz w:val="24"/>
          <w:szCs w:val="24"/>
        </w:rPr>
        <w:t>mais īpašums pirms tam n</w:t>
      </w:r>
      <w:r w:rsidR="00FF496D" w:rsidRPr="00562ADE">
        <w:rPr>
          <w:rFonts w:ascii="Times New Roman" w:eastAsia="Times New Roman" w:hAnsi="Times New Roman" w:cs="Times New Roman"/>
          <w:bCs/>
          <w:sz w:val="24"/>
          <w:szCs w:val="24"/>
        </w:rPr>
        <w:t>av bijis iegādāts ar Eiropas Savienības finansējumu</w:t>
      </w:r>
      <w:r w:rsidRPr="00562ADE">
        <w:rPr>
          <w:rFonts w:ascii="Times New Roman" w:eastAsia="Times New Roman" w:hAnsi="Times New Roman" w:cs="Times New Roman"/>
          <w:bCs/>
          <w:sz w:val="24"/>
          <w:szCs w:val="24"/>
        </w:rPr>
        <w:t>*;</w:t>
      </w:r>
    </w:p>
    <w:p w:rsidR="00CA5A28" w:rsidRPr="00562ADE" w:rsidRDefault="00CA5A28"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ja tiek </w:t>
      </w:r>
      <w:r w:rsidR="00495C5D" w:rsidRPr="00562ADE">
        <w:rPr>
          <w:rFonts w:ascii="Times New Roman" w:eastAsia="Times New Roman" w:hAnsi="Times New Roman" w:cs="Times New Roman"/>
          <w:bCs/>
          <w:sz w:val="24"/>
          <w:szCs w:val="24"/>
        </w:rPr>
        <w:t>attiecināts nolietojums</w:t>
      </w:r>
      <w:r w:rsidRPr="00562ADE">
        <w:rPr>
          <w:rFonts w:ascii="Times New Roman" w:eastAsia="Times New Roman" w:hAnsi="Times New Roman" w:cs="Times New Roman"/>
          <w:bCs/>
          <w:sz w:val="24"/>
          <w:szCs w:val="24"/>
        </w:rPr>
        <w:t>, nevis pilnā iegādes summa, pamatojumu (aprēķinu) par attiecināmās summas noteikšanu un izdruku no grāmatvedības sistēmas*;</w:t>
      </w:r>
    </w:p>
    <w:p w:rsidR="00CA5A28" w:rsidRPr="00562ADE" w:rsidRDefault="00CA5A28"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ja attiecināmo izmaksu proporcija ir noteikta, pielietojot pieskaitījuma likmi, </w:t>
      </w:r>
      <w:smartTag w:uri="schemas-tilde-lv/tildestengine" w:element="veidnes">
        <w:smartTagPr>
          <w:attr w:name="id" w:val="-1"/>
          <w:attr w:name="baseform" w:val="paskaidrojums"/>
          <w:attr w:name="text" w:val="paskaidrojums"/>
        </w:smartTagPr>
        <w:r w:rsidRPr="00562ADE">
          <w:rPr>
            <w:rFonts w:ascii="Times New Roman" w:eastAsia="Times New Roman" w:hAnsi="Times New Roman" w:cs="Times New Roman"/>
            <w:bCs/>
            <w:sz w:val="24"/>
            <w:szCs w:val="24"/>
          </w:rPr>
          <w:t>paskaidrojums</w:t>
        </w:r>
      </w:smartTag>
      <w:r w:rsidRPr="00562ADE">
        <w:rPr>
          <w:rFonts w:ascii="Times New Roman" w:eastAsia="Times New Roman" w:hAnsi="Times New Roman" w:cs="Times New Roman"/>
          <w:bCs/>
          <w:sz w:val="24"/>
          <w:szCs w:val="24"/>
        </w:rPr>
        <w:t xml:space="preserve"> par pieskaitījuma likmes noteikšanu*;</w:t>
      </w:r>
    </w:p>
    <w:p w:rsidR="00CA5A28" w:rsidRPr="00562ADE" w:rsidRDefault="00CA5A28"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562ADE">
        <w:rPr>
          <w:rFonts w:ascii="Times New Roman" w:eastAsia="Times New Roman" w:hAnsi="Times New Roman" w:cs="Times New Roman"/>
          <w:bCs/>
          <w:sz w:val="24"/>
          <w:szCs w:val="24"/>
        </w:rPr>
        <w:t xml:space="preserve">citi dokumenti, kas minēti konkrētajā līgumā saistībā ar </w:t>
      </w:r>
      <w:r w:rsidR="00581DAF" w:rsidRPr="00562ADE">
        <w:rPr>
          <w:rFonts w:ascii="Times New Roman" w:eastAsia="Times New Roman" w:hAnsi="Times New Roman" w:cs="Times New Roman"/>
          <w:bCs/>
          <w:sz w:val="24"/>
          <w:szCs w:val="24"/>
        </w:rPr>
        <w:t>aprīkojuma</w:t>
      </w:r>
      <w:r w:rsidR="002547AE" w:rsidRPr="00562ADE">
        <w:rPr>
          <w:rFonts w:ascii="Times New Roman" w:eastAsia="Times New Roman" w:hAnsi="Times New Roman" w:cs="Times New Roman"/>
          <w:bCs/>
          <w:sz w:val="24"/>
          <w:szCs w:val="24"/>
        </w:rPr>
        <w:t>, nekustamā īpašuma</w:t>
      </w:r>
      <w:r w:rsidRPr="00562ADE">
        <w:rPr>
          <w:rFonts w:ascii="Times New Roman" w:eastAsia="Times New Roman" w:hAnsi="Times New Roman" w:cs="Times New Roman"/>
          <w:bCs/>
          <w:sz w:val="24"/>
          <w:szCs w:val="24"/>
        </w:rPr>
        <w:t xml:space="preserve"> iegādi</w:t>
      </w:r>
      <w:r w:rsidR="002547AE" w:rsidRPr="00562ADE">
        <w:rPr>
          <w:rFonts w:ascii="Times New Roman" w:eastAsia="Times New Roman" w:hAnsi="Times New Roman" w:cs="Times New Roman"/>
          <w:bCs/>
          <w:sz w:val="24"/>
          <w:szCs w:val="24"/>
        </w:rPr>
        <w:t xml:space="preserve"> vai pakalpojuma sniegšanu</w:t>
      </w:r>
      <w:r w:rsidRPr="00562ADE">
        <w:rPr>
          <w:rFonts w:ascii="Times New Roman" w:eastAsia="Times New Roman" w:hAnsi="Times New Roman" w:cs="Times New Roman"/>
          <w:bCs/>
          <w:sz w:val="24"/>
          <w:szCs w:val="24"/>
        </w:rPr>
        <w:t xml:space="preserve"> un apmaksas kārtību.</w:t>
      </w:r>
    </w:p>
    <w:p w:rsidR="00CA5A28" w:rsidRPr="00DF18A4" w:rsidRDefault="00CA5A28" w:rsidP="00C611B6">
      <w:pPr>
        <w:widowControl w:val="0"/>
        <w:spacing w:after="0" w:line="360" w:lineRule="auto"/>
        <w:jc w:val="both"/>
        <w:rPr>
          <w:rFonts w:ascii="Times New Roman" w:hAnsi="Times New Roman" w:cs="Times New Roman"/>
          <w:sz w:val="20"/>
          <w:szCs w:val="20"/>
        </w:rPr>
      </w:pPr>
    </w:p>
    <w:p w:rsidR="001409FA" w:rsidRPr="00986502" w:rsidRDefault="007B4CD7" w:rsidP="00C611B6">
      <w:pPr>
        <w:widowControl w:val="0"/>
        <w:spacing w:after="0" w:line="360" w:lineRule="auto"/>
        <w:jc w:val="both"/>
        <w:rPr>
          <w:rFonts w:ascii="Times New Roman" w:hAnsi="Times New Roman" w:cs="Times New Roman"/>
          <w:b/>
          <w:i/>
          <w:sz w:val="24"/>
          <w:szCs w:val="24"/>
        </w:rPr>
      </w:pPr>
      <w:r w:rsidRPr="00986502">
        <w:rPr>
          <w:rFonts w:ascii="Times New Roman" w:hAnsi="Times New Roman" w:cs="Times New Roman"/>
          <w:b/>
          <w:i/>
          <w:sz w:val="24"/>
          <w:szCs w:val="24"/>
        </w:rPr>
        <w:t>Pakalpojumu</w:t>
      </w:r>
      <w:r w:rsidR="001409FA" w:rsidRPr="00986502">
        <w:rPr>
          <w:rFonts w:ascii="Times New Roman" w:hAnsi="Times New Roman" w:cs="Times New Roman"/>
          <w:b/>
          <w:i/>
          <w:sz w:val="24"/>
          <w:szCs w:val="24"/>
        </w:rPr>
        <w:t xml:space="preserve"> izmaksas</w:t>
      </w:r>
    </w:p>
    <w:p w:rsidR="007B4CD7" w:rsidRPr="00854E7B" w:rsidRDefault="007B4CD7"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854E7B">
        <w:rPr>
          <w:rFonts w:ascii="Times New Roman" w:eastAsia="Times New Roman" w:hAnsi="Times New Roman" w:cs="Times New Roman"/>
          <w:bCs/>
          <w:sz w:val="24"/>
          <w:szCs w:val="24"/>
        </w:rPr>
        <w:t>Pakalpojumu izmaksas ir attiecināmas, ja tās ir paredzēta</w:t>
      </w:r>
      <w:r w:rsidR="008D07F8">
        <w:rPr>
          <w:rFonts w:ascii="Times New Roman" w:eastAsia="Times New Roman" w:hAnsi="Times New Roman" w:cs="Times New Roman"/>
          <w:bCs/>
          <w:sz w:val="24"/>
          <w:szCs w:val="24"/>
        </w:rPr>
        <w:t>s</w:t>
      </w:r>
      <w:r w:rsidRPr="00854E7B">
        <w:rPr>
          <w:rFonts w:ascii="Times New Roman" w:eastAsia="Times New Roman" w:hAnsi="Times New Roman" w:cs="Times New Roman"/>
          <w:bCs/>
          <w:sz w:val="24"/>
          <w:szCs w:val="24"/>
        </w:rPr>
        <w:t xml:space="preserve"> </w:t>
      </w:r>
      <w:r w:rsidR="002C376D">
        <w:rPr>
          <w:rFonts w:ascii="Times New Roman" w:eastAsia="Times New Roman" w:hAnsi="Times New Roman" w:cs="Times New Roman"/>
          <w:bCs/>
          <w:sz w:val="24"/>
          <w:szCs w:val="24"/>
        </w:rPr>
        <w:t>G</w:t>
      </w:r>
      <w:r w:rsidRPr="00854E7B">
        <w:rPr>
          <w:rFonts w:ascii="Times New Roman" w:eastAsia="Times New Roman" w:hAnsi="Times New Roman" w:cs="Times New Roman"/>
          <w:bCs/>
          <w:sz w:val="24"/>
          <w:szCs w:val="24"/>
        </w:rPr>
        <w:t xml:space="preserve">ranta līgumā un tas ir paredzēts </w:t>
      </w:r>
      <w:r w:rsidR="003D77F9">
        <w:rPr>
          <w:rFonts w:ascii="Times New Roman" w:eastAsia="Times New Roman" w:hAnsi="Times New Roman" w:cs="Times New Roman"/>
          <w:bCs/>
          <w:sz w:val="24"/>
          <w:szCs w:val="24"/>
        </w:rPr>
        <w:t>P</w:t>
      </w:r>
      <w:r w:rsidRPr="00D06043">
        <w:rPr>
          <w:rFonts w:ascii="Times New Roman" w:eastAsia="Times New Roman" w:hAnsi="Times New Roman" w:cs="Times New Roman"/>
          <w:bCs/>
          <w:sz w:val="24"/>
          <w:szCs w:val="24"/>
        </w:rPr>
        <w:t>rojekta mērķu sasniegšanai</w:t>
      </w:r>
      <w:r w:rsidRPr="00854E7B">
        <w:rPr>
          <w:rFonts w:ascii="Times New Roman" w:eastAsia="Times New Roman" w:hAnsi="Times New Roman" w:cs="Times New Roman"/>
          <w:bCs/>
          <w:sz w:val="24"/>
          <w:szCs w:val="24"/>
        </w:rPr>
        <w:t>.</w:t>
      </w:r>
    </w:p>
    <w:p w:rsidR="00DC2B9D" w:rsidRPr="00DF18A4" w:rsidRDefault="00DC2B9D" w:rsidP="00C611B6">
      <w:pPr>
        <w:pStyle w:val="Sarakstarindkopa"/>
        <w:widowControl w:val="0"/>
        <w:tabs>
          <w:tab w:val="left" w:pos="426"/>
        </w:tabs>
        <w:spacing w:after="0" w:line="360" w:lineRule="auto"/>
        <w:ind w:left="0"/>
        <w:jc w:val="both"/>
        <w:rPr>
          <w:rFonts w:ascii="Times New Roman" w:hAnsi="Times New Roman" w:cs="Times New Roman"/>
          <w:sz w:val="10"/>
          <w:szCs w:val="10"/>
        </w:rPr>
      </w:pPr>
    </w:p>
    <w:p w:rsidR="001409FA" w:rsidRPr="00854E7B" w:rsidRDefault="007B4CD7"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9C4C85">
        <w:rPr>
          <w:rFonts w:ascii="Times New Roman" w:eastAsia="Times New Roman" w:hAnsi="Times New Roman" w:cs="Times New Roman"/>
          <w:bCs/>
          <w:sz w:val="24"/>
          <w:szCs w:val="24"/>
        </w:rPr>
        <w:t>Pakalpojuma</w:t>
      </w:r>
      <w:r w:rsidR="001409FA" w:rsidRPr="00854E7B">
        <w:rPr>
          <w:rFonts w:ascii="Times New Roman" w:hAnsi="Times New Roman" w:cs="Times New Roman"/>
          <w:sz w:val="24"/>
          <w:szCs w:val="24"/>
        </w:rPr>
        <w:t xml:space="preserve"> līgumi nevar būt:</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par </w:t>
      </w:r>
      <w:r w:rsidR="003D77F9" w:rsidRPr="009C4C85">
        <w:rPr>
          <w:rFonts w:ascii="Times New Roman" w:eastAsia="Times New Roman" w:hAnsi="Times New Roman" w:cs="Times New Roman"/>
          <w:bCs/>
          <w:sz w:val="24"/>
          <w:szCs w:val="24"/>
        </w:rPr>
        <w:t>P</w:t>
      </w:r>
      <w:r w:rsidRPr="009C4C85">
        <w:rPr>
          <w:rFonts w:ascii="Times New Roman" w:eastAsia="Times New Roman" w:hAnsi="Times New Roman" w:cs="Times New Roman"/>
          <w:bCs/>
          <w:sz w:val="24"/>
          <w:szCs w:val="24"/>
        </w:rPr>
        <w:t>rojekta vadību</w:t>
      </w:r>
      <w:r w:rsidR="001005E2" w:rsidRPr="009C4C85">
        <w:rPr>
          <w:rFonts w:ascii="Times New Roman" w:eastAsia="Times New Roman" w:hAnsi="Times New Roman" w:cs="Times New Roman"/>
          <w:bCs/>
          <w:sz w:val="24"/>
          <w:szCs w:val="24"/>
        </w:rPr>
        <w:t>, t.sk. grāmatvedības pakalpojumiem</w:t>
      </w:r>
      <w:r w:rsidRPr="009C4C85">
        <w:rPr>
          <w:rFonts w:ascii="Times New Roman" w:eastAsia="Times New Roman" w:hAnsi="Times New Roman" w:cs="Times New Roman"/>
          <w:bCs/>
          <w:sz w:val="24"/>
          <w:szCs w:val="24"/>
        </w:rPr>
        <w:t>;</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par pakalpojumiem, kas nerada papildus vērtību </w:t>
      </w:r>
      <w:r w:rsidR="003D77F9" w:rsidRPr="009C4C85">
        <w:rPr>
          <w:rFonts w:ascii="Times New Roman" w:eastAsia="Times New Roman" w:hAnsi="Times New Roman" w:cs="Times New Roman"/>
          <w:bCs/>
          <w:sz w:val="24"/>
          <w:szCs w:val="24"/>
        </w:rPr>
        <w:t>P</w:t>
      </w:r>
      <w:r w:rsidRPr="009C4C85">
        <w:rPr>
          <w:rFonts w:ascii="Times New Roman" w:eastAsia="Times New Roman" w:hAnsi="Times New Roman" w:cs="Times New Roman"/>
          <w:bCs/>
          <w:sz w:val="24"/>
          <w:szCs w:val="24"/>
        </w:rPr>
        <w:t>rojektam, salīdzinājumā ar izmaksu apjomu;</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ar </w:t>
      </w:r>
      <w:r w:rsidR="00C1126B" w:rsidRPr="009C4C85">
        <w:rPr>
          <w:rFonts w:ascii="Times New Roman" w:eastAsia="Times New Roman" w:hAnsi="Times New Roman" w:cs="Times New Roman"/>
          <w:bCs/>
          <w:sz w:val="24"/>
          <w:szCs w:val="24"/>
        </w:rPr>
        <w:t>F</w:t>
      </w:r>
      <w:r w:rsidRPr="009C4C85">
        <w:rPr>
          <w:rFonts w:ascii="Times New Roman" w:eastAsia="Times New Roman" w:hAnsi="Times New Roman" w:cs="Times New Roman"/>
          <w:bCs/>
          <w:sz w:val="24"/>
          <w:szCs w:val="24"/>
        </w:rPr>
        <w:t>inansējuma saņēmēja nodarbinātajiem.</w:t>
      </w:r>
    </w:p>
    <w:p w:rsidR="00CF7413" w:rsidRPr="00DF18A4" w:rsidRDefault="00CF7413" w:rsidP="00C611B6">
      <w:pPr>
        <w:pStyle w:val="Sarakstarindkopa"/>
        <w:widowControl w:val="0"/>
        <w:tabs>
          <w:tab w:val="left" w:pos="851"/>
        </w:tabs>
        <w:spacing w:after="0" w:line="360" w:lineRule="auto"/>
        <w:ind w:left="851"/>
        <w:jc w:val="both"/>
        <w:rPr>
          <w:rFonts w:ascii="Times New Roman" w:hAnsi="Times New Roman" w:cs="Times New Roman"/>
          <w:sz w:val="10"/>
          <w:szCs w:val="10"/>
        </w:rPr>
      </w:pPr>
    </w:p>
    <w:p w:rsidR="001409FA" w:rsidRPr="00015E85" w:rsidRDefault="001409FA"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u w:val="single"/>
        </w:rPr>
      </w:pPr>
      <w:r w:rsidRPr="00015E85">
        <w:rPr>
          <w:rFonts w:ascii="Times New Roman" w:hAnsi="Times New Roman" w:cs="Times New Roman"/>
          <w:sz w:val="24"/>
          <w:szCs w:val="24"/>
          <w:u w:val="single"/>
        </w:rPr>
        <w:t xml:space="preserve">Apakšuzņēmēju līgumu </w:t>
      </w:r>
      <w:r w:rsidR="00484230" w:rsidRPr="00015E85">
        <w:rPr>
          <w:rFonts w:ascii="Times New Roman" w:hAnsi="Times New Roman" w:cs="Times New Roman"/>
          <w:sz w:val="24"/>
          <w:szCs w:val="24"/>
          <w:u w:val="single"/>
        </w:rPr>
        <w:t>attaisnojuma dokumenti</w:t>
      </w:r>
      <w:r w:rsidRPr="00015E85">
        <w:rPr>
          <w:rFonts w:ascii="Times New Roman" w:hAnsi="Times New Roman" w:cs="Times New Roman"/>
          <w:sz w:val="24"/>
          <w:szCs w:val="24"/>
          <w:u w:val="single"/>
        </w:rPr>
        <w:t>:</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līgums (ja attiecināms)*;</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līguma izpildes nodrošinājums (gadījumā, ja tas paredzēts līgumā)*;</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apdrošināšanas līgums (gadījumā, ja tas paredzēts līgumā)*;</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pavadzīme vai rēķins;</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akts par pakalpojumu saņemšanu vai pieņemšanas-nodošanas akts;</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gadījumā, ja attiecināmo izmaksu proporcija ir noteikta, pielietojot pieskaitījuma likmi, paskaidrojums par pieskaitījuma likmes noteikšanu*;</w:t>
      </w:r>
    </w:p>
    <w:p w:rsidR="001409FA" w:rsidRPr="009C4C85" w:rsidRDefault="001409FA"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citi dokumenti, kas minēti konkrētajā līgumā saistībā ar pakalpojumu sniegšanu un apmaksas kārtību.</w:t>
      </w:r>
    </w:p>
    <w:p w:rsidR="007B4CD7" w:rsidRPr="00986502" w:rsidRDefault="007B4CD7" w:rsidP="00C611B6">
      <w:pPr>
        <w:widowControl w:val="0"/>
        <w:tabs>
          <w:tab w:val="left" w:pos="851"/>
        </w:tabs>
        <w:spacing w:after="0" w:line="360" w:lineRule="auto"/>
        <w:jc w:val="both"/>
        <w:rPr>
          <w:rFonts w:ascii="Times New Roman" w:hAnsi="Times New Roman" w:cs="Times New Roman"/>
          <w:sz w:val="20"/>
          <w:szCs w:val="20"/>
        </w:rPr>
      </w:pPr>
    </w:p>
    <w:p w:rsidR="001409FA" w:rsidRPr="00986502" w:rsidRDefault="001409FA" w:rsidP="00C611B6">
      <w:pPr>
        <w:widowControl w:val="0"/>
        <w:spacing w:after="0" w:line="360" w:lineRule="auto"/>
        <w:jc w:val="both"/>
        <w:rPr>
          <w:rFonts w:ascii="Times New Roman" w:hAnsi="Times New Roman" w:cs="Times New Roman"/>
          <w:b/>
          <w:i/>
          <w:sz w:val="24"/>
          <w:szCs w:val="24"/>
        </w:rPr>
      </w:pPr>
      <w:r w:rsidRPr="00986502">
        <w:rPr>
          <w:rFonts w:ascii="Times New Roman" w:hAnsi="Times New Roman" w:cs="Times New Roman"/>
          <w:b/>
          <w:i/>
          <w:sz w:val="24"/>
          <w:szCs w:val="24"/>
        </w:rPr>
        <w:t>Komandējuma un uzturēš</w:t>
      </w:r>
      <w:r w:rsidR="00160155" w:rsidRPr="00986502">
        <w:rPr>
          <w:rFonts w:ascii="Times New Roman" w:hAnsi="Times New Roman" w:cs="Times New Roman"/>
          <w:b/>
          <w:i/>
          <w:sz w:val="24"/>
          <w:szCs w:val="24"/>
        </w:rPr>
        <w:t>anās izmaksas</w:t>
      </w:r>
    </w:p>
    <w:p w:rsidR="006254F5" w:rsidRPr="00D06043" w:rsidRDefault="006254F5"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D06043">
        <w:rPr>
          <w:rFonts w:ascii="Times New Roman" w:hAnsi="Times New Roman" w:cs="Times New Roman"/>
          <w:sz w:val="24"/>
          <w:szCs w:val="24"/>
        </w:rPr>
        <w:t>Komandējuma un uzturēšanās izmaksas ir attiecināmas uz:</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personālu, kas piedalās </w:t>
      </w:r>
      <w:r w:rsidR="003D77F9" w:rsidRPr="009C4C85">
        <w:rPr>
          <w:rFonts w:ascii="Times New Roman" w:eastAsia="Times New Roman" w:hAnsi="Times New Roman" w:cs="Times New Roman"/>
          <w:bCs/>
          <w:sz w:val="24"/>
          <w:szCs w:val="24"/>
        </w:rPr>
        <w:t>P</w:t>
      </w:r>
      <w:r w:rsidRPr="009C4C85">
        <w:rPr>
          <w:rFonts w:ascii="Times New Roman" w:eastAsia="Times New Roman" w:hAnsi="Times New Roman" w:cs="Times New Roman"/>
          <w:bCs/>
          <w:sz w:val="24"/>
          <w:szCs w:val="24"/>
        </w:rPr>
        <w:t xml:space="preserve">rojekta </w:t>
      </w:r>
      <w:r w:rsidR="009C4C85">
        <w:rPr>
          <w:rFonts w:ascii="Times New Roman" w:eastAsia="Times New Roman" w:hAnsi="Times New Roman" w:cs="Times New Roman"/>
          <w:bCs/>
          <w:sz w:val="24"/>
          <w:szCs w:val="24"/>
        </w:rPr>
        <w:t>īstenošanā</w:t>
      </w:r>
      <w:r w:rsidRPr="009C4C85">
        <w:rPr>
          <w:rFonts w:ascii="Times New Roman" w:eastAsia="Times New Roman" w:hAnsi="Times New Roman" w:cs="Times New Roman"/>
          <w:bCs/>
          <w:sz w:val="24"/>
          <w:szCs w:val="24"/>
        </w:rPr>
        <w:t>;</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D06043">
        <w:rPr>
          <w:rFonts w:ascii="Times New Roman" w:eastAsia="Times New Roman" w:hAnsi="Times New Roman" w:cs="Times New Roman"/>
          <w:bCs/>
          <w:sz w:val="24"/>
          <w:szCs w:val="24"/>
        </w:rPr>
        <w:t xml:space="preserve">pamatotos gadījumos citām personām, kas </w:t>
      </w:r>
      <w:r w:rsidR="002F4910" w:rsidRPr="00D06043">
        <w:rPr>
          <w:rFonts w:ascii="Times New Roman" w:eastAsia="Times New Roman" w:hAnsi="Times New Roman" w:cs="Times New Roman"/>
          <w:bCs/>
          <w:sz w:val="24"/>
          <w:szCs w:val="24"/>
        </w:rPr>
        <w:t xml:space="preserve">nepiedalās </w:t>
      </w:r>
      <w:r w:rsidR="003D77F9">
        <w:rPr>
          <w:rFonts w:ascii="Times New Roman" w:eastAsia="Times New Roman" w:hAnsi="Times New Roman" w:cs="Times New Roman"/>
          <w:bCs/>
          <w:sz w:val="24"/>
          <w:szCs w:val="24"/>
        </w:rPr>
        <w:t>P</w:t>
      </w:r>
      <w:r w:rsidR="002F4910" w:rsidRPr="00D06043">
        <w:rPr>
          <w:rFonts w:ascii="Times New Roman" w:eastAsia="Times New Roman" w:hAnsi="Times New Roman" w:cs="Times New Roman"/>
          <w:bCs/>
          <w:sz w:val="24"/>
          <w:szCs w:val="24"/>
        </w:rPr>
        <w:t>rojekta</w:t>
      </w:r>
      <w:r w:rsidR="009C4C85">
        <w:rPr>
          <w:rFonts w:ascii="Times New Roman" w:eastAsia="Times New Roman" w:hAnsi="Times New Roman" w:cs="Times New Roman"/>
          <w:bCs/>
          <w:sz w:val="24"/>
          <w:szCs w:val="24"/>
        </w:rPr>
        <w:t xml:space="preserve"> īstenošanā</w:t>
      </w:r>
      <w:r w:rsidR="008D45EA" w:rsidRPr="00D06043">
        <w:rPr>
          <w:rFonts w:ascii="Times New Roman" w:eastAsia="Times New Roman" w:hAnsi="Times New Roman" w:cs="Times New Roman"/>
          <w:bCs/>
          <w:sz w:val="24"/>
          <w:szCs w:val="24"/>
        </w:rPr>
        <w:t>.</w:t>
      </w:r>
    </w:p>
    <w:p w:rsidR="006254F5" w:rsidRPr="00DF18A4" w:rsidRDefault="006254F5" w:rsidP="00C611B6">
      <w:pPr>
        <w:pStyle w:val="Sarakstarindkopa"/>
        <w:widowControl w:val="0"/>
        <w:tabs>
          <w:tab w:val="left" w:pos="851"/>
        </w:tabs>
        <w:spacing w:after="0" w:line="360" w:lineRule="auto"/>
        <w:ind w:left="851"/>
        <w:jc w:val="both"/>
        <w:rPr>
          <w:rFonts w:ascii="Times New Roman" w:hAnsi="Times New Roman" w:cs="Times New Roman"/>
          <w:sz w:val="10"/>
          <w:szCs w:val="10"/>
        </w:rPr>
      </w:pPr>
    </w:p>
    <w:p w:rsidR="00C019DD" w:rsidRPr="00854E7B" w:rsidRDefault="00160155"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lv-LV"/>
        </w:rPr>
        <w:t>I</w:t>
      </w:r>
      <w:r w:rsidR="00614494">
        <w:rPr>
          <w:rFonts w:ascii="Times New Roman" w:eastAsia="Times New Roman" w:hAnsi="Times New Roman" w:cs="Times New Roman"/>
          <w:sz w:val="24"/>
          <w:szCs w:val="24"/>
          <w:lang w:eastAsia="lv-LV"/>
        </w:rPr>
        <w:t xml:space="preserve">zdevumi </w:t>
      </w:r>
      <w:r>
        <w:rPr>
          <w:rFonts w:ascii="Times New Roman" w:eastAsia="Times New Roman" w:hAnsi="Times New Roman" w:cs="Times New Roman"/>
          <w:sz w:val="24"/>
          <w:szCs w:val="24"/>
          <w:lang w:eastAsia="lv-LV"/>
        </w:rPr>
        <w:t>ir attiecināmi</w:t>
      </w:r>
      <w:r w:rsidR="006254F5" w:rsidRPr="00854E7B">
        <w:rPr>
          <w:rFonts w:ascii="Times New Roman" w:eastAsia="Times New Roman" w:hAnsi="Times New Roman" w:cs="Times New Roman"/>
          <w:sz w:val="24"/>
          <w:szCs w:val="24"/>
          <w:lang w:eastAsia="lv-LV"/>
        </w:rPr>
        <w:t>, pamatojoties uz fakti</w:t>
      </w:r>
      <w:r w:rsidR="001B444F" w:rsidRPr="00854E7B">
        <w:rPr>
          <w:rFonts w:ascii="Times New Roman" w:eastAsia="Times New Roman" w:hAnsi="Times New Roman" w:cs="Times New Roman"/>
          <w:sz w:val="24"/>
          <w:szCs w:val="24"/>
          <w:lang w:eastAsia="lv-LV"/>
        </w:rPr>
        <w:t>skām izmaksām,</w:t>
      </w:r>
      <w:r w:rsidR="006254F5" w:rsidRPr="00854E7B">
        <w:rPr>
          <w:rFonts w:ascii="Times New Roman" w:eastAsia="Times New Roman" w:hAnsi="Times New Roman" w:cs="Times New Roman"/>
          <w:sz w:val="24"/>
          <w:szCs w:val="24"/>
          <w:lang w:eastAsia="lv-LV"/>
        </w:rPr>
        <w:t xml:space="preserve"> ievērojot Latvijas Republikā noteikto </w:t>
      </w:r>
      <w:r w:rsidR="006254F5" w:rsidRPr="009C4C85">
        <w:rPr>
          <w:rFonts w:ascii="Times New Roman" w:hAnsi="Times New Roman" w:cs="Times New Roman"/>
          <w:sz w:val="24"/>
          <w:szCs w:val="24"/>
        </w:rPr>
        <w:t>maksimālo</w:t>
      </w:r>
      <w:r w:rsidR="006254F5" w:rsidRPr="00854E7B">
        <w:rPr>
          <w:rFonts w:ascii="Times New Roman" w:eastAsia="Times New Roman" w:hAnsi="Times New Roman" w:cs="Times New Roman"/>
          <w:sz w:val="24"/>
          <w:szCs w:val="24"/>
          <w:lang w:eastAsia="lv-LV"/>
        </w:rPr>
        <w:t xml:space="preserve"> robežu saskaņā ar tiesību normām un praksi. Vispārējā izpratnē uzturēšanās </w:t>
      </w:r>
      <w:r w:rsidR="00123833" w:rsidRPr="00854E7B">
        <w:rPr>
          <w:rFonts w:ascii="Times New Roman" w:eastAsia="Times New Roman" w:hAnsi="Times New Roman" w:cs="Times New Roman"/>
          <w:sz w:val="24"/>
          <w:szCs w:val="24"/>
          <w:lang w:eastAsia="lv-LV"/>
        </w:rPr>
        <w:t>izmaksas</w:t>
      </w:r>
      <w:r w:rsidR="00581DAF">
        <w:rPr>
          <w:rFonts w:ascii="Times New Roman" w:eastAsia="Times New Roman" w:hAnsi="Times New Roman" w:cs="Times New Roman"/>
          <w:sz w:val="24"/>
          <w:szCs w:val="24"/>
          <w:lang w:eastAsia="lv-LV"/>
        </w:rPr>
        <w:t xml:space="preserve"> ietver: </w:t>
      </w:r>
      <w:r w:rsidR="00EF254F">
        <w:rPr>
          <w:rFonts w:ascii="Times New Roman" w:eastAsia="Times New Roman" w:hAnsi="Times New Roman" w:cs="Times New Roman"/>
          <w:sz w:val="24"/>
          <w:szCs w:val="24"/>
          <w:lang w:eastAsia="lv-LV"/>
        </w:rPr>
        <w:t xml:space="preserve">dienas naudu, lai kompensētu papildu izdevumus, kas rodas komandējuma laikā (piemēram, par ēdināšanu, dažādiem pakalpojumiem), </w:t>
      </w:r>
      <w:r w:rsidR="001A5222">
        <w:rPr>
          <w:rFonts w:ascii="Times New Roman" w:eastAsia="Times New Roman" w:hAnsi="Times New Roman" w:cs="Times New Roman"/>
          <w:sz w:val="24"/>
          <w:szCs w:val="24"/>
          <w:lang w:eastAsia="lv-LV"/>
        </w:rPr>
        <w:t>kopējās lietošanas transportlīdzekļu</w:t>
      </w:r>
      <w:r w:rsidR="00EF254F">
        <w:rPr>
          <w:rFonts w:ascii="Times New Roman" w:eastAsia="Times New Roman" w:hAnsi="Times New Roman" w:cs="Times New Roman"/>
          <w:sz w:val="24"/>
          <w:szCs w:val="24"/>
          <w:lang w:eastAsia="lv-LV"/>
        </w:rPr>
        <w:t xml:space="preserve"> izdevumus</w:t>
      </w:r>
      <w:r w:rsidR="008D07F8">
        <w:rPr>
          <w:rFonts w:ascii="Times New Roman" w:eastAsia="Times New Roman" w:hAnsi="Times New Roman" w:cs="Times New Roman"/>
          <w:sz w:val="24"/>
          <w:szCs w:val="24"/>
          <w:lang w:eastAsia="lv-LV"/>
        </w:rPr>
        <w:t xml:space="preserve"> </w:t>
      </w:r>
      <w:r w:rsidR="006254F5" w:rsidRPr="00854E7B">
        <w:rPr>
          <w:rFonts w:ascii="Times New Roman" w:eastAsia="Times New Roman" w:hAnsi="Times New Roman" w:cs="Times New Roman"/>
          <w:sz w:val="24"/>
          <w:szCs w:val="24"/>
          <w:lang w:eastAsia="lv-LV"/>
        </w:rPr>
        <w:t>(ies</w:t>
      </w:r>
      <w:r w:rsidR="009C4C85">
        <w:rPr>
          <w:rFonts w:ascii="Times New Roman" w:eastAsia="Times New Roman" w:hAnsi="Times New Roman" w:cs="Times New Roman"/>
          <w:sz w:val="24"/>
          <w:szCs w:val="24"/>
          <w:lang w:eastAsia="lv-LV"/>
        </w:rPr>
        <w:t>kaitot braucienus ar taksometru</w:t>
      </w:r>
      <w:r w:rsidR="006254F5" w:rsidRPr="00854E7B">
        <w:rPr>
          <w:rFonts w:ascii="Times New Roman" w:eastAsia="Times New Roman" w:hAnsi="Times New Roman" w:cs="Times New Roman"/>
          <w:sz w:val="24"/>
          <w:szCs w:val="24"/>
          <w:lang w:eastAsia="lv-LV"/>
        </w:rPr>
        <w:t xml:space="preserve"> </w:t>
      </w:r>
      <w:r w:rsidR="008D45EA" w:rsidRPr="00854E7B">
        <w:rPr>
          <w:rFonts w:ascii="Times New Roman" w:eastAsia="Times New Roman" w:hAnsi="Times New Roman" w:cs="Times New Roman"/>
          <w:sz w:val="24"/>
          <w:szCs w:val="24"/>
          <w:lang w:eastAsia="lv-LV"/>
        </w:rPr>
        <w:t xml:space="preserve">īpaši pamatotos gadījumos, piemēram, </w:t>
      </w:r>
      <w:r w:rsidR="006254F5" w:rsidRPr="00854E7B">
        <w:rPr>
          <w:rFonts w:ascii="Times New Roman" w:eastAsia="Times New Roman" w:hAnsi="Times New Roman" w:cs="Times New Roman"/>
          <w:sz w:val="24"/>
          <w:szCs w:val="24"/>
          <w:lang w:eastAsia="lv-LV"/>
        </w:rPr>
        <w:t xml:space="preserve">ja tas ir ekonomiski izdevīgākais vai vienīgais pārvietošanās līdzeklis), </w:t>
      </w:r>
      <w:r w:rsidR="008D07F8">
        <w:rPr>
          <w:rFonts w:ascii="Times New Roman" w:eastAsia="Times New Roman" w:hAnsi="Times New Roman" w:cs="Times New Roman"/>
          <w:sz w:val="24"/>
          <w:szCs w:val="24"/>
          <w:lang w:eastAsia="lv-LV"/>
        </w:rPr>
        <w:t>viesnīcu (naktsmītni)</w:t>
      </w:r>
      <w:r w:rsidR="006254F5" w:rsidRPr="00854E7B">
        <w:rPr>
          <w:rFonts w:ascii="Times New Roman" w:eastAsia="Times New Roman" w:hAnsi="Times New Roman" w:cs="Times New Roman"/>
          <w:sz w:val="24"/>
          <w:szCs w:val="24"/>
          <w:lang w:eastAsia="lv-LV"/>
        </w:rPr>
        <w:t xml:space="preserve">, vietējo </w:t>
      </w:r>
      <w:r w:rsidR="006254F5" w:rsidRPr="005858D2">
        <w:rPr>
          <w:rFonts w:ascii="Times New Roman" w:eastAsia="Times New Roman" w:hAnsi="Times New Roman" w:cs="Times New Roman"/>
          <w:sz w:val="24"/>
          <w:szCs w:val="24"/>
          <w:lang w:eastAsia="lv-LV"/>
        </w:rPr>
        <w:t>telefonu</w:t>
      </w:r>
      <w:r w:rsidR="006254F5" w:rsidRPr="00854E7B">
        <w:rPr>
          <w:rFonts w:ascii="Times New Roman" w:eastAsia="Times New Roman" w:hAnsi="Times New Roman" w:cs="Times New Roman"/>
          <w:sz w:val="24"/>
          <w:szCs w:val="24"/>
          <w:lang w:eastAsia="lv-LV"/>
        </w:rPr>
        <w:t xml:space="preserve"> sakarus un citas papildus izmaksas.</w:t>
      </w:r>
    </w:p>
    <w:p w:rsidR="00CF7413" w:rsidRPr="00DF18A4" w:rsidRDefault="00CF7413" w:rsidP="00C611B6">
      <w:pPr>
        <w:pStyle w:val="Sarakstarindkopa"/>
        <w:widowControl w:val="0"/>
        <w:tabs>
          <w:tab w:val="left" w:pos="426"/>
        </w:tabs>
        <w:spacing w:after="0" w:line="360" w:lineRule="auto"/>
        <w:ind w:left="0"/>
        <w:jc w:val="both"/>
        <w:rPr>
          <w:rFonts w:ascii="Times New Roman" w:hAnsi="Times New Roman" w:cs="Times New Roman"/>
          <w:sz w:val="10"/>
          <w:szCs w:val="10"/>
        </w:rPr>
      </w:pPr>
    </w:p>
    <w:p w:rsidR="006254F5" w:rsidRPr="00854E7B" w:rsidRDefault="006254F5"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9C4C85">
        <w:rPr>
          <w:rFonts w:ascii="Times New Roman" w:hAnsi="Times New Roman" w:cs="Times New Roman"/>
          <w:sz w:val="24"/>
          <w:szCs w:val="24"/>
        </w:rPr>
        <w:t>Komandējumu un uzturēšanās izmaksu attaisnojuma dokumenti</w:t>
      </w:r>
      <w:r w:rsidRPr="00854E7B">
        <w:rPr>
          <w:rFonts w:ascii="Times New Roman" w:hAnsi="Times New Roman" w:cs="Times New Roman"/>
          <w:sz w:val="24"/>
          <w:szCs w:val="24"/>
        </w:rPr>
        <w:t>:</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rīkojum</w:t>
      </w:r>
      <w:r w:rsidR="000179AC" w:rsidRPr="009C4C85">
        <w:rPr>
          <w:rFonts w:ascii="Times New Roman" w:eastAsia="Times New Roman" w:hAnsi="Times New Roman" w:cs="Times New Roman"/>
          <w:bCs/>
          <w:sz w:val="24"/>
          <w:szCs w:val="24"/>
        </w:rPr>
        <w:t>a dokuments</w:t>
      </w:r>
      <w:r w:rsidRPr="009C4C85">
        <w:rPr>
          <w:rFonts w:ascii="Times New Roman" w:eastAsia="Times New Roman" w:hAnsi="Times New Roman" w:cs="Times New Roman"/>
          <w:bCs/>
          <w:sz w:val="24"/>
          <w:szCs w:val="24"/>
        </w:rPr>
        <w:t xml:space="preserve"> par nosūtīšanu komandējumā;</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avansa pieprasījums, ja naudu skaita avansā;</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avansa norēķins;</w:t>
      </w:r>
    </w:p>
    <w:p w:rsidR="006254F5" w:rsidRPr="009C4C85" w:rsidRDefault="004F7D6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gaisa</w:t>
      </w:r>
      <w:r w:rsidR="006254F5" w:rsidRPr="009C4C85">
        <w:rPr>
          <w:rFonts w:ascii="Times New Roman" w:eastAsia="Times New Roman" w:hAnsi="Times New Roman" w:cs="Times New Roman"/>
          <w:bCs/>
          <w:sz w:val="24"/>
          <w:szCs w:val="24"/>
        </w:rPr>
        <w:t xml:space="preserve"> vai cita transporta līdzekļa biļetes, iekāpšanas taloni;</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 xml:space="preserve">citi ceļa izdevumus attaisnojošie dokumenti (piemēram, ja dodas komandējumā ar automašīnu, tad jāpievieno ceļazīme, norādot braukšanas maršrutu, </w:t>
      </w:r>
      <w:r w:rsidR="002F4910" w:rsidRPr="009C4C85">
        <w:rPr>
          <w:rFonts w:ascii="Times New Roman" w:eastAsia="Times New Roman" w:hAnsi="Times New Roman" w:cs="Times New Roman"/>
          <w:bCs/>
          <w:sz w:val="24"/>
          <w:szCs w:val="24"/>
        </w:rPr>
        <w:t>odometr</w:t>
      </w:r>
      <w:r w:rsidR="00123833" w:rsidRPr="009C4C85">
        <w:rPr>
          <w:rFonts w:ascii="Times New Roman" w:eastAsia="Times New Roman" w:hAnsi="Times New Roman" w:cs="Times New Roman"/>
          <w:bCs/>
          <w:sz w:val="24"/>
          <w:szCs w:val="24"/>
        </w:rPr>
        <w:t>a</w:t>
      </w:r>
      <w:r w:rsidRPr="009C4C85">
        <w:rPr>
          <w:rFonts w:ascii="Times New Roman" w:eastAsia="Times New Roman" w:hAnsi="Times New Roman" w:cs="Times New Roman"/>
          <w:bCs/>
          <w:sz w:val="24"/>
          <w:szCs w:val="24"/>
        </w:rPr>
        <w:t xml:space="preserve"> rādījumus izbraucot un atgriežoties no komandējuma, datumu un laiku, nobraukto kilometru sk</w:t>
      </w:r>
      <w:r w:rsidR="009C4C85">
        <w:rPr>
          <w:rFonts w:ascii="Times New Roman" w:eastAsia="Times New Roman" w:hAnsi="Times New Roman" w:cs="Times New Roman"/>
          <w:bCs/>
          <w:sz w:val="24"/>
          <w:szCs w:val="24"/>
        </w:rPr>
        <w:t>aitu, degvielas patēriņu uz 100 </w:t>
      </w:r>
      <w:r w:rsidRPr="009C4C85">
        <w:rPr>
          <w:rFonts w:ascii="Times New Roman" w:eastAsia="Times New Roman" w:hAnsi="Times New Roman" w:cs="Times New Roman"/>
          <w:bCs/>
          <w:sz w:val="24"/>
          <w:szCs w:val="24"/>
        </w:rPr>
        <w:t>km);</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atskaite par komandējuma uzdevuma izpildi</w:t>
      </w:r>
      <w:r w:rsidR="001B444F" w:rsidRPr="009C4C85">
        <w:rPr>
          <w:rFonts w:ascii="Times New Roman" w:eastAsia="Times New Roman" w:hAnsi="Times New Roman" w:cs="Times New Roman"/>
          <w:bCs/>
          <w:sz w:val="24"/>
          <w:szCs w:val="24"/>
        </w:rPr>
        <w:t xml:space="preserve"> (</w:t>
      </w:r>
      <w:r w:rsidRPr="009C4C85">
        <w:rPr>
          <w:rFonts w:ascii="Times New Roman" w:eastAsia="Times New Roman" w:hAnsi="Times New Roman" w:cs="Times New Roman"/>
          <w:bCs/>
          <w:sz w:val="24"/>
          <w:szCs w:val="24"/>
        </w:rPr>
        <w:t>neattiecas uz apmācībām nosūtīto personālu</w:t>
      </w:r>
      <w:r w:rsidR="001B444F" w:rsidRPr="009C4C85">
        <w:rPr>
          <w:rFonts w:ascii="Times New Roman" w:eastAsia="Times New Roman" w:hAnsi="Times New Roman" w:cs="Times New Roman"/>
          <w:bCs/>
          <w:sz w:val="24"/>
          <w:szCs w:val="24"/>
        </w:rPr>
        <w:t>)</w:t>
      </w:r>
      <w:r w:rsidRPr="009C4C85">
        <w:rPr>
          <w:rFonts w:ascii="Times New Roman" w:eastAsia="Times New Roman" w:hAnsi="Times New Roman" w:cs="Times New Roman"/>
          <w:bCs/>
          <w:sz w:val="24"/>
          <w:szCs w:val="24"/>
        </w:rPr>
        <w:t>;</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ziņojums vai iesniegums iestādes vadītājam ar lūgumu segt neparedzēti radušos komandējuma izdevumus (norādot arī detalizēto pamatojumu);</w:t>
      </w:r>
    </w:p>
    <w:p w:rsidR="006254F5" w:rsidRPr="009C4C85" w:rsidRDefault="006254F5"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9C4C85">
        <w:rPr>
          <w:rFonts w:ascii="Times New Roman" w:eastAsia="Times New Roman" w:hAnsi="Times New Roman" w:cs="Times New Roman"/>
          <w:bCs/>
          <w:sz w:val="24"/>
          <w:szCs w:val="24"/>
        </w:rPr>
        <w:t>citi dokumenti, kas apliecina</w:t>
      </w:r>
      <w:r w:rsidR="008D07F8" w:rsidRPr="009C4C85">
        <w:rPr>
          <w:rFonts w:ascii="Times New Roman" w:eastAsia="Times New Roman" w:hAnsi="Times New Roman" w:cs="Times New Roman"/>
          <w:bCs/>
          <w:sz w:val="24"/>
          <w:szCs w:val="24"/>
        </w:rPr>
        <w:t xml:space="preserve"> komandējuma</w:t>
      </w:r>
      <w:r w:rsidRPr="009C4C85">
        <w:rPr>
          <w:rFonts w:ascii="Times New Roman" w:eastAsia="Times New Roman" w:hAnsi="Times New Roman" w:cs="Times New Roman"/>
          <w:bCs/>
          <w:sz w:val="24"/>
          <w:szCs w:val="24"/>
        </w:rPr>
        <w:t xml:space="preserve"> izdevumus.</w:t>
      </w:r>
    </w:p>
    <w:p w:rsidR="00DC2B9D" w:rsidRPr="00DF18A4" w:rsidRDefault="00DC2B9D" w:rsidP="00C611B6">
      <w:pPr>
        <w:widowControl w:val="0"/>
        <w:tabs>
          <w:tab w:val="left" w:pos="851"/>
        </w:tabs>
        <w:spacing w:after="0" w:line="360" w:lineRule="auto"/>
        <w:jc w:val="both"/>
        <w:rPr>
          <w:rFonts w:ascii="Times New Roman" w:hAnsi="Times New Roman" w:cs="Times New Roman"/>
          <w:sz w:val="20"/>
          <w:szCs w:val="20"/>
        </w:rPr>
      </w:pPr>
    </w:p>
    <w:p w:rsidR="00025B92" w:rsidRPr="00986502" w:rsidRDefault="00025B92" w:rsidP="00C611B6">
      <w:pPr>
        <w:widowControl w:val="0"/>
        <w:tabs>
          <w:tab w:val="left" w:pos="426"/>
        </w:tabs>
        <w:spacing w:after="0" w:line="360" w:lineRule="auto"/>
        <w:jc w:val="both"/>
        <w:rPr>
          <w:rFonts w:ascii="Times New Roman" w:hAnsi="Times New Roman" w:cs="Times New Roman"/>
          <w:b/>
          <w:i/>
          <w:sz w:val="24"/>
          <w:szCs w:val="24"/>
        </w:rPr>
      </w:pPr>
      <w:r w:rsidRPr="00986502">
        <w:rPr>
          <w:rFonts w:ascii="Times New Roman" w:hAnsi="Times New Roman" w:cs="Times New Roman"/>
          <w:b/>
          <w:i/>
          <w:sz w:val="24"/>
          <w:szCs w:val="24"/>
        </w:rPr>
        <w:t>Apmācību un seminār</w:t>
      </w:r>
      <w:r w:rsidR="00123833" w:rsidRPr="00986502">
        <w:rPr>
          <w:rFonts w:ascii="Times New Roman" w:hAnsi="Times New Roman" w:cs="Times New Roman"/>
          <w:b/>
          <w:i/>
          <w:sz w:val="24"/>
          <w:szCs w:val="24"/>
        </w:rPr>
        <w:t>u</w:t>
      </w:r>
      <w:r w:rsidRPr="00986502">
        <w:rPr>
          <w:rFonts w:ascii="Times New Roman" w:hAnsi="Times New Roman" w:cs="Times New Roman"/>
          <w:b/>
          <w:i/>
          <w:sz w:val="24"/>
          <w:szCs w:val="24"/>
        </w:rPr>
        <w:t xml:space="preserve"> izmaksas</w:t>
      </w:r>
    </w:p>
    <w:p w:rsidR="00025B92" w:rsidRPr="00854E7B" w:rsidRDefault="00025B92"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854E7B">
        <w:rPr>
          <w:rFonts w:ascii="Times New Roman" w:hAnsi="Times New Roman" w:cs="Times New Roman"/>
          <w:sz w:val="24"/>
          <w:szCs w:val="24"/>
        </w:rPr>
        <w:t xml:space="preserve">Attiecināmas visas ar apmācību un semināru </w:t>
      </w:r>
      <w:r w:rsidR="008D45EA" w:rsidRPr="00854E7B">
        <w:rPr>
          <w:rFonts w:ascii="Times New Roman" w:hAnsi="Times New Roman" w:cs="Times New Roman"/>
          <w:sz w:val="24"/>
          <w:szCs w:val="24"/>
        </w:rPr>
        <w:t xml:space="preserve">organizēšanu un </w:t>
      </w:r>
      <w:r w:rsidRPr="00854E7B">
        <w:rPr>
          <w:rFonts w:ascii="Times New Roman" w:hAnsi="Times New Roman" w:cs="Times New Roman"/>
          <w:sz w:val="24"/>
          <w:szCs w:val="24"/>
        </w:rPr>
        <w:t xml:space="preserve">nodrošināšanu saistītās izmaksas, ja attiecīgās apmācības vai semināri ir </w:t>
      </w:r>
      <w:r w:rsidRPr="00D06043">
        <w:rPr>
          <w:rFonts w:ascii="Times New Roman" w:hAnsi="Times New Roman" w:cs="Times New Roman"/>
          <w:sz w:val="24"/>
          <w:szCs w:val="24"/>
        </w:rPr>
        <w:t xml:space="preserve">organizēti saistībā ar </w:t>
      </w:r>
      <w:r w:rsidR="003D77F9">
        <w:rPr>
          <w:rFonts w:ascii="Times New Roman" w:hAnsi="Times New Roman" w:cs="Times New Roman"/>
          <w:sz w:val="24"/>
          <w:szCs w:val="24"/>
        </w:rPr>
        <w:t>P</w:t>
      </w:r>
      <w:r w:rsidRPr="00D06043">
        <w:rPr>
          <w:rFonts w:ascii="Times New Roman" w:hAnsi="Times New Roman" w:cs="Times New Roman"/>
          <w:sz w:val="24"/>
          <w:szCs w:val="24"/>
        </w:rPr>
        <w:t>rojekta mērķa sasniegšanu</w:t>
      </w:r>
      <w:r w:rsidR="003F0087">
        <w:rPr>
          <w:rFonts w:ascii="Times New Roman" w:hAnsi="Times New Roman" w:cs="Times New Roman"/>
          <w:sz w:val="24"/>
          <w:szCs w:val="24"/>
        </w:rPr>
        <w:t>, izņemot izmaksas, kas paredzētas Projekta mērķa grupai</w:t>
      </w:r>
      <w:r w:rsidR="008D45EA" w:rsidRPr="00D06043">
        <w:rPr>
          <w:rFonts w:ascii="Times New Roman" w:hAnsi="Times New Roman" w:cs="Times New Roman"/>
          <w:sz w:val="24"/>
          <w:szCs w:val="24"/>
        </w:rPr>
        <w:t>.</w:t>
      </w:r>
    </w:p>
    <w:p w:rsidR="00DC2B9D" w:rsidRPr="00DF18A4" w:rsidRDefault="00DC2B9D" w:rsidP="00C611B6">
      <w:pPr>
        <w:pStyle w:val="Sarakstarindkopa"/>
        <w:widowControl w:val="0"/>
        <w:tabs>
          <w:tab w:val="left" w:pos="426"/>
        </w:tabs>
        <w:spacing w:after="0" w:line="360" w:lineRule="auto"/>
        <w:ind w:left="0"/>
        <w:jc w:val="both"/>
        <w:rPr>
          <w:rFonts w:ascii="Times New Roman" w:hAnsi="Times New Roman" w:cs="Times New Roman"/>
          <w:sz w:val="10"/>
          <w:szCs w:val="10"/>
        </w:rPr>
      </w:pPr>
    </w:p>
    <w:p w:rsidR="00025B92" w:rsidRPr="00854E7B" w:rsidRDefault="00025B92"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120ACA">
        <w:rPr>
          <w:rFonts w:ascii="Times New Roman" w:hAnsi="Times New Roman" w:cs="Times New Roman"/>
          <w:sz w:val="24"/>
          <w:szCs w:val="24"/>
        </w:rPr>
        <w:t>Apmācību un semināru izmaksu attaisnojuma dokumenti</w:t>
      </w:r>
      <w:r w:rsidRPr="00854E7B">
        <w:rPr>
          <w:rFonts w:ascii="Times New Roman" w:hAnsi="Times New Roman" w:cs="Times New Roman"/>
          <w:sz w:val="24"/>
          <w:szCs w:val="24"/>
        </w:rPr>
        <w:t>:</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līgums (ja attiecināms)*;</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tāme (ja attiecināms);</w:t>
      </w:r>
    </w:p>
    <w:p w:rsidR="00DA2C3D" w:rsidRPr="00877814" w:rsidRDefault="00DA2C3D"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darba kārtība un programma (attiecas uz semināra izmaksām);</w:t>
      </w:r>
    </w:p>
    <w:p w:rsidR="001005E2" w:rsidRPr="00877814" w:rsidRDefault="001005E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 xml:space="preserve">apmācību kursu saturs, programma (ja apmācības organizē </w:t>
      </w:r>
      <w:r w:rsidR="00C1126B" w:rsidRPr="00877814">
        <w:rPr>
          <w:rFonts w:ascii="Times New Roman" w:eastAsia="Times New Roman" w:hAnsi="Times New Roman" w:cs="Times New Roman"/>
          <w:bCs/>
          <w:sz w:val="24"/>
          <w:szCs w:val="24"/>
        </w:rPr>
        <w:t>F</w:t>
      </w:r>
      <w:r w:rsidRPr="00877814">
        <w:rPr>
          <w:rFonts w:ascii="Times New Roman" w:eastAsia="Times New Roman" w:hAnsi="Times New Roman" w:cs="Times New Roman"/>
          <w:bCs/>
          <w:sz w:val="24"/>
          <w:szCs w:val="24"/>
        </w:rPr>
        <w:t>inansējuma saņēmējs);</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dalībnieku saraksts</w:t>
      </w:r>
      <w:r w:rsidR="001005E2" w:rsidRPr="00877814">
        <w:rPr>
          <w:rFonts w:ascii="Times New Roman" w:eastAsia="Times New Roman" w:hAnsi="Times New Roman" w:cs="Times New Roman"/>
          <w:bCs/>
          <w:sz w:val="24"/>
          <w:szCs w:val="24"/>
        </w:rPr>
        <w:t xml:space="preserve"> (ja apmācības organizē </w:t>
      </w:r>
      <w:r w:rsidR="00C1126B" w:rsidRPr="00877814">
        <w:rPr>
          <w:rFonts w:ascii="Times New Roman" w:eastAsia="Times New Roman" w:hAnsi="Times New Roman" w:cs="Times New Roman"/>
          <w:bCs/>
          <w:sz w:val="24"/>
          <w:szCs w:val="24"/>
        </w:rPr>
        <w:t>F</w:t>
      </w:r>
      <w:r w:rsidR="001005E2" w:rsidRPr="00877814">
        <w:rPr>
          <w:rFonts w:ascii="Times New Roman" w:eastAsia="Times New Roman" w:hAnsi="Times New Roman" w:cs="Times New Roman"/>
          <w:bCs/>
          <w:sz w:val="24"/>
          <w:szCs w:val="24"/>
        </w:rPr>
        <w:t>inansējuma saņēmējs)</w:t>
      </w:r>
      <w:r w:rsidRPr="00877814">
        <w:rPr>
          <w:rFonts w:ascii="Times New Roman" w:eastAsia="Times New Roman" w:hAnsi="Times New Roman" w:cs="Times New Roman"/>
          <w:bCs/>
          <w:sz w:val="24"/>
          <w:szCs w:val="24"/>
        </w:rPr>
        <w:t>;</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apmeklējuma lapa</w:t>
      </w:r>
      <w:r w:rsidR="001005E2" w:rsidRPr="00877814">
        <w:rPr>
          <w:rFonts w:ascii="Times New Roman" w:eastAsia="Times New Roman" w:hAnsi="Times New Roman" w:cs="Times New Roman"/>
          <w:bCs/>
          <w:sz w:val="24"/>
          <w:szCs w:val="24"/>
        </w:rPr>
        <w:t xml:space="preserve"> (ja apmācības organizē </w:t>
      </w:r>
      <w:r w:rsidR="00C1126B" w:rsidRPr="00877814">
        <w:rPr>
          <w:rFonts w:ascii="Times New Roman" w:eastAsia="Times New Roman" w:hAnsi="Times New Roman" w:cs="Times New Roman"/>
          <w:bCs/>
          <w:sz w:val="24"/>
          <w:szCs w:val="24"/>
        </w:rPr>
        <w:t>F</w:t>
      </w:r>
      <w:r w:rsidR="001005E2" w:rsidRPr="00877814">
        <w:rPr>
          <w:rFonts w:ascii="Times New Roman" w:eastAsia="Times New Roman" w:hAnsi="Times New Roman" w:cs="Times New Roman"/>
          <w:bCs/>
          <w:sz w:val="24"/>
          <w:szCs w:val="24"/>
        </w:rPr>
        <w:t>inansējuma saņēmējs)</w:t>
      </w:r>
      <w:r w:rsidRPr="00877814">
        <w:rPr>
          <w:rFonts w:ascii="Times New Roman" w:eastAsia="Times New Roman" w:hAnsi="Times New Roman" w:cs="Times New Roman"/>
          <w:bCs/>
          <w:sz w:val="24"/>
          <w:szCs w:val="24"/>
        </w:rPr>
        <w:t>;</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atskaite par izpildi;</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izsniegtie sertifikāti vai apliecības;</w:t>
      </w:r>
    </w:p>
    <w:p w:rsidR="00025B92" w:rsidRPr="00877814" w:rsidRDefault="00025B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pieņemšanas-nodošanas akts (ja attiecināms);</w:t>
      </w:r>
    </w:p>
    <w:p w:rsidR="00EB789F" w:rsidRPr="00877814" w:rsidRDefault="00EB789F" w:rsidP="00C611B6">
      <w:pPr>
        <w:pStyle w:val="Sarakstarindkopa"/>
        <w:widowControl w:val="0"/>
        <w:numPr>
          <w:ilvl w:val="1"/>
          <w:numId w:val="2"/>
        </w:numPr>
        <w:tabs>
          <w:tab w:val="left" w:pos="1276"/>
        </w:tabs>
        <w:spacing w:after="0" w:line="360" w:lineRule="auto"/>
        <w:ind w:left="0" w:firstLine="567"/>
        <w:jc w:val="both"/>
        <w:outlineLvl w:val="0"/>
        <w:rPr>
          <w:rFonts w:ascii="Times New Roman" w:eastAsia="Times New Roman" w:hAnsi="Times New Roman" w:cs="Times New Roman"/>
          <w:bCs/>
          <w:sz w:val="24"/>
          <w:szCs w:val="24"/>
        </w:rPr>
      </w:pPr>
      <w:r w:rsidRPr="00877814">
        <w:rPr>
          <w:rFonts w:ascii="Times New Roman" w:eastAsia="Times New Roman" w:hAnsi="Times New Roman" w:cs="Times New Roman"/>
          <w:bCs/>
          <w:sz w:val="24"/>
          <w:szCs w:val="24"/>
        </w:rPr>
        <w:t>foto uzņēmumi;</w:t>
      </w:r>
    </w:p>
    <w:p w:rsidR="00025B92" w:rsidRPr="00854E7B" w:rsidRDefault="00025B92" w:rsidP="00C611B6">
      <w:pPr>
        <w:pStyle w:val="Sarakstarindkopa"/>
        <w:widowControl w:val="0"/>
        <w:numPr>
          <w:ilvl w:val="1"/>
          <w:numId w:val="2"/>
        </w:numPr>
        <w:tabs>
          <w:tab w:val="left" w:pos="1276"/>
        </w:tabs>
        <w:spacing w:after="0" w:line="360" w:lineRule="auto"/>
        <w:ind w:left="0" w:firstLine="567"/>
        <w:jc w:val="both"/>
        <w:outlineLvl w:val="0"/>
        <w:rPr>
          <w:rFonts w:ascii="Times New Roman" w:hAnsi="Times New Roman" w:cs="Times New Roman"/>
          <w:sz w:val="24"/>
          <w:szCs w:val="24"/>
        </w:rPr>
      </w:pPr>
      <w:r w:rsidRPr="00877814">
        <w:rPr>
          <w:rFonts w:ascii="Times New Roman" w:eastAsia="Times New Roman" w:hAnsi="Times New Roman" w:cs="Times New Roman"/>
          <w:bCs/>
          <w:sz w:val="24"/>
          <w:szCs w:val="24"/>
        </w:rPr>
        <w:t>citi</w:t>
      </w:r>
      <w:r w:rsidRPr="00854E7B">
        <w:rPr>
          <w:rFonts w:ascii="Times New Roman" w:hAnsi="Times New Roman" w:cs="Times New Roman"/>
          <w:sz w:val="24"/>
          <w:szCs w:val="24"/>
        </w:rPr>
        <w:t xml:space="preserve"> attaisnojuma dokumenti, kas saistīti ar pasākuma organizēšanu</w:t>
      </w:r>
      <w:r w:rsidR="00877814">
        <w:rPr>
          <w:rFonts w:ascii="Times New Roman" w:hAnsi="Times New Roman" w:cs="Times New Roman"/>
          <w:sz w:val="24"/>
          <w:szCs w:val="24"/>
        </w:rPr>
        <w:t>.</w:t>
      </w:r>
    </w:p>
    <w:p w:rsidR="00DA2C3D" w:rsidRPr="00DF18A4" w:rsidRDefault="00DA2C3D" w:rsidP="00C611B6">
      <w:pPr>
        <w:widowControl w:val="0"/>
        <w:tabs>
          <w:tab w:val="left" w:pos="426"/>
        </w:tabs>
        <w:spacing w:after="0" w:line="360" w:lineRule="auto"/>
        <w:jc w:val="both"/>
        <w:rPr>
          <w:rFonts w:ascii="Times New Roman" w:hAnsi="Times New Roman" w:cs="Times New Roman"/>
          <w:sz w:val="20"/>
          <w:szCs w:val="20"/>
        </w:rPr>
      </w:pPr>
    </w:p>
    <w:p w:rsidR="002F0646" w:rsidRPr="00986502" w:rsidRDefault="00F109BB" w:rsidP="00C611B6">
      <w:pPr>
        <w:widowControl w:val="0"/>
        <w:tabs>
          <w:tab w:val="left" w:pos="426"/>
        </w:tabs>
        <w:spacing w:after="0" w:line="360" w:lineRule="auto"/>
        <w:jc w:val="both"/>
        <w:rPr>
          <w:rFonts w:ascii="Times New Roman" w:hAnsi="Times New Roman" w:cs="Times New Roman"/>
          <w:b/>
          <w:i/>
          <w:sz w:val="24"/>
          <w:szCs w:val="24"/>
        </w:rPr>
      </w:pPr>
      <w:r w:rsidRPr="00986502">
        <w:rPr>
          <w:rFonts w:ascii="Times New Roman" w:hAnsi="Times New Roman" w:cs="Times New Roman"/>
          <w:b/>
          <w:i/>
          <w:sz w:val="24"/>
          <w:szCs w:val="24"/>
        </w:rPr>
        <w:t>Ar mērķa grupu saistītās izmaksas</w:t>
      </w:r>
    </w:p>
    <w:p w:rsidR="00304D96" w:rsidRPr="006947EC" w:rsidRDefault="00F109BB" w:rsidP="006947EC">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854E7B">
        <w:rPr>
          <w:rFonts w:ascii="Times New Roman" w:hAnsi="Times New Roman" w:cs="Times New Roman"/>
          <w:sz w:val="24"/>
          <w:szCs w:val="24"/>
        </w:rPr>
        <w:t>Attiecināmas preču un pakalpojumu izmaksas, kas saistītas ar palīdzības sniegšanu mērķa grupai</w:t>
      </w:r>
      <w:r w:rsidR="006947EC">
        <w:rPr>
          <w:rFonts w:ascii="Times New Roman" w:hAnsi="Times New Roman" w:cs="Times New Roman"/>
          <w:sz w:val="24"/>
          <w:szCs w:val="24"/>
        </w:rPr>
        <w:t>.</w:t>
      </w:r>
    </w:p>
    <w:p w:rsidR="00F109BB" w:rsidRPr="00854E7B" w:rsidRDefault="00F109BB"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08583B">
        <w:rPr>
          <w:rFonts w:ascii="Times New Roman" w:hAnsi="Times New Roman" w:cs="Times New Roman"/>
          <w:sz w:val="24"/>
          <w:szCs w:val="24"/>
        </w:rPr>
        <w:t>Ar mērķa grupu saistīt</w:t>
      </w:r>
      <w:r w:rsidR="00304D96" w:rsidRPr="0008583B">
        <w:rPr>
          <w:rFonts w:ascii="Times New Roman" w:hAnsi="Times New Roman" w:cs="Times New Roman"/>
          <w:sz w:val="24"/>
          <w:szCs w:val="24"/>
        </w:rPr>
        <w:t>o</w:t>
      </w:r>
      <w:r w:rsidRPr="0008583B">
        <w:rPr>
          <w:rFonts w:ascii="Times New Roman" w:hAnsi="Times New Roman" w:cs="Times New Roman"/>
          <w:sz w:val="24"/>
          <w:szCs w:val="24"/>
        </w:rPr>
        <w:t xml:space="preserve"> izmaks</w:t>
      </w:r>
      <w:r w:rsidR="00304D96" w:rsidRPr="0008583B">
        <w:rPr>
          <w:rFonts w:ascii="Times New Roman" w:hAnsi="Times New Roman" w:cs="Times New Roman"/>
          <w:sz w:val="24"/>
          <w:szCs w:val="24"/>
        </w:rPr>
        <w:t>u attaisnojuma dokumenti</w:t>
      </w:r>
      <w:r w:rsidR="00304D96" w:rsidRPr="00854E7B">
        <w:rPr>
          <w:rFonts w:ascii="Times New Roman" w:hAnsi="Times New Roman" w:cs="Times New Roman"/>
          <w:sz w:val="24"/>
          <w:szCs w:val="24"/>
        </w:rPr>
        <w:t>:</w:t>
      </w:r>
    </w:p>
    <w:p w:rsidR="003B3823" w:rsidRPr="0008583B" w:rsidRDefault="0008583B"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8D45EA" w:rsidRPr="0008583B">
        <w:rPr>
          <w:rFonts w:ascii="Times New Roman" w:eastAsia="Times New Roman" w:hAnsi="Times New Roman" w:cs="Times New Roman"/>
          <w:bCs/>
          <w:sz w:val="24"/>
          <w:szCs w:val="24"/>
        </w:rPr>
        <w:t xml:space="preserve">okuments (izņēmuma gadījumos </w:t>
      </w:r>
      <w:r w:rsidR="003B3823" w:rsidRPr="0008583B">
        <w:rPr>
          <w:rFonts w:ascii="Times New Roman" w:eastAsia="Times New Roman" w:hAnsi="Times New Roman" w:cs="Times New Roman"/>
          <w:bCs/>
          <w:sz w:val="24"/>
          <w:szCs w:val="24"/>
        </w:rPr>
        <w:t>apliecinājums</w:t>
      </w:r>
      <w:r w:rsidR="008D45EA" w:rsidRPr="0008583B">
        <w:rPr>
          <w:rFonts w:ascii="Times New Roman" w:eastAsia="Times New Roman" w:hAnsi="Times New Roman" w:cs="Times New Roman"/>
          <w:bCs/>
          <w:sz w:val="24"/>
          <w:szCs w:val="24"/>
        </w:rPr>
        <w:t>)</w:t>
      </w:r>
      <w:r w:rsidR="003B3823" w:rsidRPr="0008583B">
        <w:rPr>
          <w:rFonts w:ascii="Times New Roman" w:eastAsia="Times New Roman" w:hAnsi="Times New Roman" w:cs="Times New Roman"/>
          <w:bCs/>
          <w:sz w:val="24"/>
          <w:szCs w:val="24"/>
        </w:rPr>
        <w:t xml:space="preserve"> par </w:t>
      </w:r>
      <w:r w:rsidR="00DA2C3D" w:rsidRPr="0008583B">
        <w:rPr>
          <w:rFonts w:ascii="Times New Roman" w:eastAsia="Times New Roman" w:hAnsi="Times New Roman" w:cs="Times New Roman"/>
          <w:bCs/>
          <w:sz w:val="24"/>
          <w:szCs w:val="24"/>
        </w:rPr>
        <w:t xml:space="preserve">personas, kas saņēmusi atbalstu no </w:t>
      </w:r>
      <w:r w:rsidR="003D77F9" w:rsidRPr="0008583B">
        <w:rPr>
          <w:rFonts w:ascii="Times New Roman" w:eastAsia="Times New Roman" w:hAnsi="Times New Roman" w:cs="Times New Roman"/>
          <w:bCs/>
          <w:sz w:val="24"/>
          <w:szCs w:val="24"/>
        </w:rPr>
        <w:t>P</w:t>
      </w:r>
      <w:r w:rsidR="00DA2C3D" w:rsidRPr="0008583B">
        <w:rPr>
          <w:rFonts w:ascii="Times New Roman" w:eastAsia="Times New Roman" w:hAnsi="Times New Roman" w:cs="Times New Roman"/>
          <w:bCs/>
          <w:sz w:val="24"/>
          <w:szCs w:val="24"/>
        </w:rPr>
        <w:t>rojekta līdzekļiem</w:t>
      </w:r>
      <w:r>
        <w:rPr>
          <w:rFonts w:ascii="Times New Roman" w:eastAsia="Times New Roman" w:hAnsi="Times New Roman" w:cs="Times New Roman"/>
          <w:bCs/>
          <w:sz w:val="24"/>
          <w:szCs w:val="24"/>
        </w:rPr>
        <w:t>,</w:t>
      </w:r>
      <w:r w:rsidR="00DA2C3D" w:rsidRPr="0008583B">
        <w:rPr>
          <w:rFonts w:ascii="Times New Roman" w:eastAsia="Times New Roman" w:hAnsi="Times New Roman" w:cs="Times New Roman"/>
          <w:bCs/>
          <w:sz w:val="24"/>
          <w:szCs w:val="24"/>
        </w:rPr>
        <w:t xml:space="preserve"> atbilst</w:t>
      </w:r>
      <w:r w:rsidR="00123833" w:rsidRPr="0008583B">
        <w:rPr>
          <w:rFonts w:ascii="Times New Roman" w:eastAsia="Times New Roman" w:hAnsi="Times New Roman" w:cs="Times New Roman"/>
          <w:bCs/>
          <w:sz w:val="24"/>
          <w:szCs w:val="24"/>
        </w:rPr>
        <w:t>ību</w:t>
      </w:r>
      <w:r w:rsidR="00DA2C3D" w:rsidRPr="0008583B">
        <w:rPr>
          <w:rFonts w:ascii="Times New Roman" w:eastAsia="Times New Roman" w:hAnsi="Times New Roman" w:cs="Times New Roman"/>
          <w:bCs/>
          <w:sz w:val="24"/>
          <w:szCs w:val="24"/>
        </w:rPr>
        <w:t xml:space="preserve"> fonda pamatdokumentā definētai mērķa grupai</w:t>
      </w:r>
      <w:r w:rsidR="003B3823" w:rsidRPr="0008583B">
        <w:rPr>
          <w:rFonts w:ascii="Times New Roman" w:eastAsia="Times New Roman" w:hAnsi="Times New Roman" w:cs="Times New Roman"/>
          <w:bCs/>
          <w:sz w:val="24"/>
          <w:szCs w:val="24"/>
        </w:rPr>
        <w:t>;</w:t>
      </w:r>
    </w:p>
    <w:p w:rsidR="00304D96"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n</w:t>
      </w:r>
      <w:r w:rsidR="0008583B">
        <w:rPr>
          <w:rFonts w:ascii="Times New Roman" w:eastAsia="Times New Roman" w:hAnsi="Times New Roman" w:cs="Times New Roman"/>
          <w:bCs/>
          <w:sz w:val="24"/>
          <w:szCs w:val="24"/>
        </w:rPr>
        <w:t>ormas/</w:t>
      </w:r>
      <w:r w:rsidRPr="0008583B">
        <w:rPr>
          <w:rFonts w:ascii="Times New Roman" w:eastAsia="Times New Roman" w:hAnsi="Times New Roman" w:cs="Times New Roman"/>
          <w:bCs/>
          <w:sz w:val="24"/>
          <w:szCs w:val="24"/>
        </w:rPr>
        <w:t>pamatojums sniedzamās palīdzības apmēram;</w:t>
      </w:r>
    </w:p>
    <w:p w:rsidR="00304D96"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apkopojums par attiecīgajā mēnesī sniegtās palīdzības apmēru griezumā pa mērķa grupas pārstāvjiem;</w:t>
      </w:r>
    </w:p>
    <w:p w:rsidR="00304D96"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 xml:space="preserve">brīvprātīgas atgriešanās gadījumā – mērķa grupas pārstāvja pieteikums dalībai atgriešanās programmā un </w:t>
      </w:r>
      <w:proofErr w:type="spellStart"/>
      <w:r w:rsidRPr="0008583B">
        <w:rPr>
          <w:rFonts w:ascii="Times New Roman" w:eastAsia="Times New Roman" w:hAnsi="Times New Roman" w:cs="Times New Roman"/>
          <w:bCs/>
          <w:sz w:val="24"/>
          <w:szCs w:val="24"/>
        </w:rPr>
        <w:t>reintegrācijas</w:t>
      </w:r>
      <w:proofErr w:type="spellEnd"/>
      <w:r w:rsidRPr="0008583B">
        <w:rPr>
          <w:rFonts w:ascii="Times New Roman" w:eastAsia="Times New Roman" w:hAnsi="Times New Roman" w:cs="Times New Roman"/>
          <w:bCs/>
          <w:sz w:val="24"/>
          <w:szCs w:val="24"/>
        </w:rPr>
        <w:t xml:space="preserve"> palīdzības saņemšanai;</w:t>
      </w:r>
    </w:p>
    <w:p w:rsidR="00484230"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 xml:space="preserve">pamatojums sniegtajai </w:t>
      </w:r>
      <w:proofErr w:type="spellStart"/>
      <w:r w:rsidRPr="0008583B">
        <w:rPr>
          <w:rFonts w:ascii="Times New Roman" w:eastAsia="Times New Roman" w:hAnsi="Times New Roman" w:cs="Times New Roman"/>
          <w:bCs/>
          <w:sz w:val="24"/>
          <w:szCs w:val="24"/>
        </w:rPr>
        <w:t>reintegrā</w:t>
      </w:r>
      <w:r w:rsidR="00484230" w:rsidRPr="0008583B">
        <w:rPr>
          <w:rFonts w:ascii="Times New Roman" w:eastAsia="Times New Roman" w:hAnsi="Times New Roman" w:cs="Times New Roman"/>
          <w:bCs/>
          <w:sz w:val="24"/>
          <w:szCs w:val="24"/>
        </w:rPr>
        <w:t>cijas</w:t>
      </w:r>
      <w:proofErr w:type="spellEnd"/>
      <w:r w:rsidR="00484230" w:rsidRPr="0008583B">
        <w:rPr>
          <w:rFonts w:ascii="Times New Roman" w:eastAsia="Times New Roman" w:hAnsi="Times New Roman" w:cs="Times New Roman"/>
          <w:bCs/>
          <w:sz w:val="24"/>
          <w:szCs w:val="24"/>
        </w:rPr>
        <w:t xml:space="preserve"> palīdzībai un tās apmēram;</w:t>
      </w:r>
    </w:p>
    <w:p w:rsidR="00304D96" w:rsidRPr="0008583B" w:rsidRDefault="00304D96"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08583B">
        <w:rPr>
          <w:rFonts w:ascii="Times New Roman" w:eastAsia="Times New Roman" w:hAnsi="Times New Roman" w:cs="Times New Roman"/>
          <w:bCs/>
          <w:sz w:val="24"/>
          <w:szCs w:val="24"/>
        </w:rPr>
        <w:t>attaisnojuma dokumenti</w:t>
      </w:r>
      <w:r w:rsidR="00930E72" w:rsidRPr="0008583B">
        <w:rPr>
          <w:rFonts w:ascii="Times New Roman" w:eastAsia="Times New Roman" w:hAnsi="Times New Roman" w:cs="Times New Roman"/>
          <w:bCs/>
          <w:sz w:val="24"/>
          <w:szCs w:val="24"/>
        </w:rPr>
        <w:t>, kas minēti</w:t>
      </w:r>
      <w:r w:rsidRPr="0008583B">
        <w:rPr>
          <w:rFonts w:ascii="Times New Roman" w:eastAsia="Times New Roman" w:hAnsi="Times New Roman" w:cs="Times New Roman"/>
          <w:bCs/>
          <w:sz w:val="24"/>
          <w:szCs w:val="24"/>
        </w:rPr>
        <w:t xml:space="preserve"> </w:t>
      </w:r>
      <w:r w:rsidR="00930E72" w:rsidRPr="0008583B">
        <w:rPr>
          <w:rFonts w:ascii="Times New Roman" w:eastAsia="Times New Roman" w:hAnsi="Times New Roman" w:cs="Times New Roman"/>
          <w:bCs/>
          <w:sz w:val="24"/>
          <w:szCs w:val="24"/>
        </w:rPr>
        <w:t xml:space="preserve">citās izdevumu kategorijās par preču </w:t>
      </w:r>
      <w:r w:rsidR="006F5992" w:rsidRPr="0008583B">
        <w:rPr>
          <w:rFonts w:ascii="Times New Roman" w:eastAsia="Times New Roman" w:hAnsi="Times New Roman" w:cs="Times New Roman"/>
          <w:bCs/>
          <w:sz w:val="24"/>
          <w:szCs w:val="24"/>
        </w:rPr>
        <w:t>i</w:t>
      </w:r>
      <w:r w:rsidR="00930E72" w:rsidRPr="0008583B">
        <w:rPr>
          <w:rFonts w:ascii="Times New Roman" w:eastAsia="Times New Roman" w:hAnsi="Times New Roman" w:cs="Times New Roman"/>
          <w:bCs/>
          <w:sz w:val="24"/>
          <w:szCs w:val="24"/>
        </w:rPr>
        <w:t>egādi, pakalpojuma saņemšanu, komandējuma izdevumiem</w:t>
      </w:r>
      <w:r w:rsidR="008D45EA" w:rsidRPr="0008583B">
        <w:rPr>
          <w:rFonts w:ascii="Times New Roman" w:eastAsia="Times New Roman" w:hAnsi="Times New Roman" w:cs="Times New Roman"/>
          <w:bCs/>
          <w:sz w:val="24"/>
          <w:szCs w:val="24"/>
        </w:rPr>
        <w:t>, apmācību un semināra izdevumiem</w:t>
      </w:r>
      <w:r w:rsidR="00930E72" w:rsidRPr="0008583B">
        <w:rPr>
          <w:rFonts w:ascii="Times New Roman" w:eastAsia="Times New Roman" w:hAnsi="Times New Roman" w:cs="Times New Roman"/>
          <w:bCs/>
          <w:sz w:val="24"/>
          <w:szCs w:val="24"/>
        </w:rPr>
        <w:t xml:space="preserve"> u.c.</w:t>
      </w:r>
    </w:p>
    <w:p w:rsidR="00930E72" w:rsidRPr="00DF18A4" w:rsidRDefault="00930E72" w:rsidP="00C611B6">
      <w:pPr>
        <w:pStyle w:val="Sarakstarindkopa"/>
        <w:widowControl w:val="0"/>
        <w:tabs>
          <w:tab w:val="left" w:pos="426"/>
        </w:tabs>
        <w:spacing w:after="0" w:line="360" w:lineRule="auto"/>
        <w:ind w:left="0"/>
        <w:jc w:val="both"/>
        <w:rPr>
          <w:rFonts w:ascii="Times New Roman" w:hAnsi="Times New Roman" w:cs="Times New Roman"/>
          <w:sz w:val="20"/>
          <w:szCs w:val="20"/>
        </w:rPr>
      </w:pPr>
    </w:p>
    <w:p w:rsidR="002F0646" w:rsidRPr="00C611B6" w:rsidRDefault="0002764B" w:rsidP="00C611B6">
      <w:pPr>
        <w:pStyle w:val="Sarakstarindkopa"/>
        <w:widowControl w:val="0"/>
        <w:numPr>
          <w:ilvl w:val="0"/>
          <w:numId w:val="1"/>
        </w:numPr>
        <w:spacing w:after="0" w:line="360" w:lineRule="auto"/>
        <w:ind w:left="0" w:firstLine="0"/>
        <w:jc w:val="center"/>
        <w:outlineLvl w:val="0"/>
        <w:rPr>
          <w:rFonts w:ascii="Times New Roman" w:eastAsia="Times New Roman" w:hAnsi="Times New Roman" w:cs="Times New Roman"/>
          <w:b/>
          <w:bCs/>
          <w:sz w:val="28"/>
          <w:szCs w:val="28"/>
        </w:rPr>
      </w:pPr>
      <w:r w:rsidRPr="00854E7B">
        <w:rPr>
          <w:rFonts w:ascii="Times New Roman" w:eastAsia="Times New Roman" w:hAnsi="Times New Roman" w:cs="Times New Roman"/>
          <w:b/>
          <w:bCs/>
          <w:sz w:val="28"/>
          <w:szCs w:val="28"/>
        </w:rPr>
        <w:t>Netiešās attiecināmās izmaksas</w:t>
      </w:r>
    </w:p>
    <w:p w:rsidR="00304D96" w:rsidRPr="00854E7B" w:rsidRDefault="0002764B"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854E7B">
        <w:rPr>
          <w:rFonts w:ascii="Times New Roman" w:hAnsi="Times New Roman" w:cs="Times New Roman"/>
          <w:sz w:val="24"/>
          <w:szCs w:val="24"/>
        </w:rPr>
        <w:t xml:space="preserve">Netiešās attiecināmās izmaksas nav </w:t>
      </w:r>
      <w:r w:rsidRPr="00D06043">
        <w:rPr>
          <w:rFonts w:ascii="Times New Roman" w:hAnsi="Times New Roman" w:cs="Times New Roman"/>
          <w:sz w:val="24"/>
          <w:szCs w:val="24"/>
        </w:rPr>
        <w:t xml:space="preserve">tieši saistītas ar </w:t>
      </w:r>
      <w:r w:rsidR="00BE34F5">
        <w:rPr>
          <w:rFonts w:ascii="Times New Roman" w:hAnsi="Times New Roman" w:cs="Times New Roman"/>
          <w:sz w:val="24"/>
          <w:szCs w:val="24"/>
        </w:rPr>
        <w:t>P</w:t>
      </w:r>
      <w:r w:rsidRPr="00D06043">
        <w:rPr>
          <w:rFonts w:ascii="Times New Roman" w:hAnsi="Times New Roman" w:cs="Times New Roman"/>
          <w:sz w:val="24"/>
          <w:szCs w:val="24"/>
        </w:rPr>
        <w:t>rojekta mērķu sasniegšanu</w:t>
      </w:r>
      <w:r w:rsidR="00123833" w:rsidRPr="00D06043">
        <w:rPr>
          <w:rFonts w:ascii="Times New Roman" w:hAnsi="Times New Roman" w:cs="Times New Roman"/>
          <w:sz w:val="24"/>
          <w:szCs w:val="24"/>
        </w:rPr>
        <w:t>.</w:t>
      </w:r>
      <w:r w:rsidR="00123833" w:rsidRPr="00854E7B">
        <w:rPr>
          <w:rFonts w:ascii="Times New Roman" w:hAnsi="Times New Roman" w:cs="Times New Roman"/>
          <w:sz w:val="24"/>
          <w:szCs w:val="24"/>
        </w:rPr>
        <w:t xml:space="preserve"> Tās ietver</w:t>
      </w:r>
      <w:r w:rsidRPr="00854E7B">
        <w:rPr>
          <w:rFonts w:ascii="Times New Roman" w:hAnsi="Times New Roman" w:cs="Times New Roman"/>
          <w:sz w:val="24"/>
          <w:szCs w:val="24"/>
        </w:rPr>
        <w:t>:</w:t>
      </w:r>
    </w:p>
    <w:p w:rsidR="0002764B" w:rsidRPr="00A45ED5" w:rsidRDefault="003023B1"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Projekta vadības un administrēšanas</w:t>
      </w:r>
      <w:r w:rsidR="0002764B" w:rsidRPr="00A45ED5">
        <w:rPr>
          <w:rFonts w:ascii="Times New Roman" w:eastAsia="Times New Roman" w:hAnsi="Times New Roman" w:cs="Times New Roman"/>
          <w:bCs/>
          <w:sz w:val="24"/>
          <w:szCs w:val="24"/>
        </w:rPr>
        <w:t xml:space="preserve"> izmaksas;</w:t>
      </w:r>
    </w:p>
    <w:p w:rsidR="0002764B"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m</w:t>
      </w:r>
      <w:r w:rsidR="00A45ED5">
        <w:rPr>
          <w:rFonts w:ascii="Times New Roman" w:eastAsia="Times New Roman" w:hAnsi="Times New Roman" w:cs="Times New Roman"/>
          <w:bCs/>
          <w:sz w:val="24"/>
          <w:szCs w:val="24"/>
        </w:rPr>
        <w:t>aksu</w:t>
      </w:r>
      <w:r w:rsidR="0002764B" w:rsidRPr="00A45ED5">
        <w:rPr>
          <w:rFonts w:ascii="Times New Roman" w:eastAsia="Times New Roman" w:hAnsi="Times New Roman" w:cs="Times New Roman"/>
          <w:bCs/>
          <w:sz w:val="24"/>
          <w:szCs w:val="24"/>
        </w:rPr>
        <w:t xml:space="preserve"> un nodevas par </w:t>
      </w:r>
      <w:r w:rsidR="00A45ED5">
        <w:rPr>
          <w:rFonts w:ascii="Times New Roman" w:eastAsia="Times New Roman" w:hAnsi="Times New Roman" w:cs="Times New Roman"/>
          <w:bCs/>
          <w:sz w:val="24"/>
          <w:szCs w:val="24"/>
        </w:rPr>
        <w:t xml:space="preserve">kredītiestādes </w:t>
      </w:r>
      <w:r w:rsidR="0002764B" w:rsidRPr="00A45ED5">
        <w:rPr>
          <w:rFonts w:ascii="Times New Roman" w:eastAsia="Times New Roman" w:hAnsi="Times New Roman" w:cs="Times New Roman"/>
          <w:bCs/>
          <w:sz w:val="24"/>
          <w:szCs w:val="24"/>
        </w:rPr>
        <w:t xml:space="preserve">pakalpojumiem (izņemot </w:t>
      </w:r>
      <w:r w:rsidR="006A7C32" w:rsidRPr="00A45ED5">
        <w:rPr>
          <w:rFonts w:ascii="Times New Roman" w:eastAsia="Times New Roman" w:hAnsi="Times New Roman" w:cs="Times New Roman"/>
          <w:bCs/>
          <w:sz w:val="24"/>
          <w:szCs w:val="24"/>
        </w:rPr>
        <w:t xml:space="preserve">kredītiestādes </w:t>
      </w:r>
      <w:r w:rsidR="0002764B" w:rsidRPr="00A45ED5">
        <w:rPr>
          <w:rFonts w:ascii="Times New Roman" w:eastAsia="Times New Roman" w:hAnsi="Times New Roman" w:cs="Times New Roman"/>
          <w:bCs/>
          <w:sz w:val="24"/>
          <w:szCs w:val="24"/>
        </w:rPr>
        <w:t>garantijas);</w:t>
      </w:r>
    </w:p>
    <w:p w:rsidR="0002764B"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n</w:t>
      </w:r>
      <w:r w:rsidR="00581DAF" w:rsidRPr="00A45ED5">
        <w:rPr>
          <w:rFonts w:ascii="Times New Roman" w:eastAsia="Times New Roman" w:hAnsi="Times New Roman" w:cs="Times New Roman"/>
          <w:bCs/>
          <w:sz w:val="24"/>
          <w:szCs w:val="24"/>
        </w:rPr>
        <w:t xml:space="preserve">ekustamā īpašuma </w:t>
      </w:r>
      <w:r w:rsidR="0096770D">
        <w:rPr>
          <w:rFonts w:ascii="Times New Roman" w:eastAsia="Times New Roman" w:hAnsi="Times New Roman" w:cs="Times New Roman"/>
          <w:bCs/>
          <w:sz w:val="24"/>
          <w:szCs w:val="24"/>
        </w:rPr>
        <w:t xml:space="preserve">nomas vai </w:t>
      </w:r>
      <w:r w:rsidR="003023B1" w:rsidRPr="00A45ED5">
        <w:rPr>
          <w:rFonts w:ascii="Times New Roman" w:eastAsia="Times New Roman" w:hAnsi="Times New Roman" w:cs="Times New Roman"/>
          <w:bCs/>
          <w:sz w:val="24"/>
          <w:szCs w:val="24"/>
        </w:rPr>
        <w:t xml:space="preserve">nolietojuma </w:t>
      </w:r>
      <w:r w:rsidR="0002764B" w:rsidRPr="00A45ED5">
        <w:rPr>
          <w:rFonts w:ascii="Times New Roman" w:eastAsia="Times New Roman" w:hAnsi="Times New Roman" w:cs="Times New Roman"/>
          <w:bCs/>
          <w:sz w:val="24"/>
          <w:szCs w:val="24"/>
        </w:rPr>
        <w:t>un uzturēšanas izmaksas, kas saistītas ar ikdienas administrat</w:t>
      </w:r>
      <w:r w:rsidRPr="00A45ED5">
        <w:rPr>
          <w:rFonts w:ascii="Times New Roman" w:eastAsia="Times New Roman" w:hAnsi="Times New Roman" w:cs="Times New Roman"/>
          <w:bCs/>
          <w:sz w:val="24"/>
          <w:szCs w:val="24"/>
        </w:rPr>
        <w:t>īvajām darbībām;</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 xml:space="preserve">citas izmaksas, kas nav attiecināmas uz </w:t>
      </w:r>
      <w:r w:rsidR="00BE34F5" w:rsidRPr="00A45ED5">
        <w:rPr>
          <w:rFonts w:ascii="Times New Roman" w:eastAsia="Times New Roman" w:hAnsi="Times New Roman" w:cs="Times New Roman"/>
          <w:bCs/>
          <w:sz w:val="24"/>
          <w:szCs w:val="24"/>
        </w:rPr>
        <w:t>P</w:t>
      </w:r>
      <w:r w:rsidRPr="00A45ED5">
        <w:rPr>
          <w:rFonts w:ascii="Times New Roman" w:eastAsia="Times New Roman" w:hAnsi="Times New Roman" w:cs="Times New Roman"/>
          <w:bCs/>
          <w:sz w:val="24"/>
          <w:szCs w:val="24"/>
        </w:rPr>
        <w:t>rojekta tiešajām izmaksām.</w:t>
      </w:r>
    </w:p>
    <w:p w:rsidR="00CF7413" w:rsidRPr="00DF18A4" w:rsidRDefault="00CF7413" w:rsidP="00C611B6">
      <w:pPr>
        <w:pStyle w:val="Sarakstarindkopa"/>
        <w:widowControl w:val="0"/>
        <w:tabs>
          <w:tab w:val="left" w:pos="426"/>
        </w:tabs>
        <w:spacing w:after="0" w:line="360" w:lineRule="auto"/>
        <w:ind w:left="709"/>
        <w:jc w:val="both"/>
        <w:rPr>
          <w:rFonts w:ascii="Times New Roman" w:hAnsi="Times New Roman" w:cs="Times New Roman"/>
          <w:sz w:val="10"/>
          <w:szCs w:val="10"/>
        </w:rPr>
      </w:pPr>
    </w:p>
    <w:p w:rsidR="0002764B" w:rsidRPr="00A45ED5" w:rsidRDefault="00CF7413" w:rsidP="00C611B6">
      <w:pPr>
        <w:pStyle w:val="Sarakstarindkopa"/>
        <w:widowControl w:val="0"/>
        <w:numPr>
          <w:ilvl w:val="0"/>
          <w:numId w:val="2"/>
        </w:numPr>
        <w:tabs>
          <w:tab w:val="left" w:pos="993"/>
        </w:tabs>
        <w:spacing w:after="0" w:line="360" w:lineRule="auto"/>
        <w:ind w:left="0" w:firstLine="567"/>
        <w:jc w:val="both"/>
        <w:outlineLvl w:val="0"/>
        <w:rPr>
          <w:rFonts w:ascii="Times New Roman" w:hAnsi="Times New Roman" w:cs="Times New Roman"/>
          <w:sz w:val="24"/>
          <w:szCs w:val="24"/>
        </w:rPr>
      </w:pPr>
      <w:r w:rsidRPr="00A45ED5">
        <w:rPr>
          <w:rFonts w:ascii="Times New Roman" w:hAnsi="Times New Roman" w:cs="Times New Roman"/>
          <w:sz w:val="24"/>
          <w:szCs w:val="24"/>
        </w:rPr>
        <w:t>Netiešo izmaksu attaisnojuma dokumenti:</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līgums (ja attiecināms)*;</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līguma izpildes nodrošinājums (ja tas paredzēts līgumā)*;</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pavadzīme vai rēķins, čeks (ja attiecināms);</w:t>
      </w:r>
    </w:p>
    <w:p w:rsidR="00CF7413" w:rsidRPr="00A45ED5"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pavadzīme</w:t>
      </w:r>
      <w:r w:rsidR="001B444F" w:rsidRPr="00A45ED5">
        <w:rPr>
          <w:rFonts w:ascii="Times New Roman" w:eastAsia="Times New Roman" w:hAnsi="Times New Roman" w:cs="Times New Roman"/>
          <w:bCs/>
          <w:sz w:val="24"/>
          <w:szCs w:val="24"/>
        </w:rPr>
        <w:t xml:space="preserve"> vai rēķins</w:t>
      </w:r>
      <w:r w:rsidRPr="00A45ED5">
        <w:rPr>
          <w:rFonts w:ascii="Times New Roman" w:eastAsia="Times New Roman" w:hAnsi="Times New Roman" w:cs="Times New Roman"/>
          <w:bCs/>
          <w:sz w:val="24"/>
          <w:szCs w:val="24"/>
        </w:rPr>
        <w:t xml:space="preserve"> un/vai pieņemšanas-nodošanas akts (ja paredzēts līgumā), kas apliecina preču </w:t>
      </w:r>
      <w:r w:rsidR="001B444F" w:rsidRPr="00A45ED5">
        <w:rPr>
          <w:rFonts w:ascii="Times New Roman" w:eastAsia="Times New Roman" w:hAnsi="Times New Roman" w:cs="Times New Roman"/>
          <w:bCs/>
          <w:sz w:val="24"/>
          <w:szCs w:val="24"/>
        </w:rPr>
        <w:t xml:space="preserve">vai pakalpojumu </w:t>
      </w:r>
      <w:r w:rsidRPr="00A45ED5">
        <w:rPr>
          <w:rFonts w:ascii="Times New Roman" w:eastAsia="Times New Roman" w:hAnsi="Times New Roman" w:cs="Times New Roman"/>
          <w:bCs/>
          <w:sz w:val="24"/>
          <w:szCs w:val="24"/>
        </w:rPr>
        <w:t>saņemšanu;</w:t>
      </w:r>
    </w:p>
    <w:p w:rsidR="006F5992" w:rsidRPr="00A45ED5" w:rsidRDefault="006F5992"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pieskaitījuma likmes noteikšanas dokumenti (ja attiecināms);</w:t>
      </w:r>
    </w:p>
    <w:p w:rsidR="00CF7413" w:rsidRDefault="00CF7413" w:rsidP="00C611B6">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Cs/>
          <w:sz w:val="24"/>
          <w:szCs w:val="24"/>
        </w:rPr>
      </w:pPr>
      <w:r w:rsidRPr="00A45ED5">
        <w:rPr>
          <w:rFonts w:ascii="Times New Roman" w:eastAsia="Times New Roman" w:hAnsi="Times New Roman" w:cs="Times New Roman"/>
          <w:bCs/>
          <w:sz w:val="24"/>
          <w:szCs w:val="24"/>
        </w:rPr>
        <w:t>citi dokumenti, kas minēti konkrētajā līgumā saistībā ar preču piegādi un apmaksas kārtību.</w:t>
      </w:r>
    </w:p>
    <w:p w:rsidR="0096770D" w:rsidRPr="0096770D" w:rsidRDefault="0096770D" w:rsidP="0096770D">
      <w:pPr>
        <w:pStyle w:val="Sarakstarindkopa"/>
        <w:widowControl w:val="0"/>
        <w:tabs>
          <w:tab w:val="left" w:pos="1134"/>
        </w:tabs>
        <w:spacing w:after="0" w:line="360" w:lineRule="auto"/>
        <w:ind w:left="567"/>
        <w:jc w:val="both"/>
        <w:outlineLvl w:val="0"/>
        <w:rPr>
          <w:rFonts w:ascii="Times New Roman" w:eastAsia="Times New Roman" w:hAnsi="Times New Roman" w:cs="Times New Roman"/>
          <w:bCs/>
          <w:sz w:val="20"/>
          <w:szCs w:val="20"/>
        </w:rPr>
      </w:pPr>
    </w:p>
    <w:p w:rsidR="0096770D" w:rsidRDefault="0096770D" w:rsidP="0096770D">
      <w:pPr>
        <w:pStyle w:val="Sarakstarindkopa"/>
        <w:widowControl w:val="0"/>
        <w:numPr>
          <w:ilvl w:val="0"/>
          <w:numId w:val="1"/>
        </w:numPr>
        <w:spacing w:after="0" w:line="360" w:lineRule="auto"/>
        <w:ind w:left="0" w:firstLine="0"/>
        <w:jc w:val="center"/>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
          <w:bCs/>
          <w:sz w:val="28"/>
          <w:szCs w:val="28"/>
        </w:rPr>
        <w:t>Neattiecināmās izmaksas</w:t>
      </w:r>
    </w:p>
    <w:p w:rsidR="0096770D" w:rsidRPr="0096770D" w:rsidRDefault="0096770D" w:rsidP="0096770D">
      <w:pPr>
        <w:pStyle w:val="Sarakstarindkopa"/>
        <w:widowControl w:val="0"/>
        <w:numPr>
          <w:ilvl w:val="0"/>
          <w:numId w:val="2"/>
        </w:numPr>
        <w:tabs>
          <w:tab w:val="left" w:pos="993"/>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hAnsi="Times New Roman" w:cs="Times New Roman"/>
          <w:sz w:val="24"/>
          <w:szCs w:val="24"/>
        </w:rPr>
        <w:t>Neattiecināmās</w:t>
      </w:r>
      <w:r w:rsidRPr="00A5380B">
        <w:rPr>
          <w:rFonts w:ascii="Times New Roman" w:eastAsia="Times New Roman" w:hAnsi="Times New Roman" w:cs="Times New Roman"/>
          <w:sz w:val="24"/>
          <w:szCs w:val="24"/>
          <w:lang w:eastAsia="lv-LV"/>
        </w:rPr>
        <w:t xml:space="preserve"> izmaksas ir šādas</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parādi</w:t>
      </w:r>
      <w:r w:rsidRPr="00A5380B">
        <w:rPr>
          <w:rFonts w:ascii="Times New Roman" w:eastAsia="Times New Roman" w:hAnsi="Times New Roman" w:cs="Times New Roman"/>
          <w:sz w:val="24"/>
          <w:szCs w:val="24"/>
          <w:lang w:eastAsia="lv-LV"/>
        </w:rPr>
        <w:t xml:space="preserve"> un parādu apkalpošanas izmaksas, debeta procenti, valūtas maiņas komisijas maksa un zaudējumi valūtas svārstību dēļ, uzkrājumi zaudējumiem vai iespējamām saistībām nākotnē, procentu maksājumi, apšaubāmi parādi, soda naudas, finansiālas sankcijas, ar tiesāšanos saistītas izmaksas un pārmērīgi vai nepamatoti izdevumi</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pievienotās</w:t>
      </w:r>
      <w:r w:rsidRPr="00A5380B">
        <w:rPr>
          <w:rFonts w:ascii="Times New Roman" w:eastAsia="Times New Roman" w:hAnsi="Times New Roman" w:cs="Times New Roman"/>
          <w:sz w:val="24"/>
          <w:szCs w:val="24"/>
          <w:lang w:eastAsia="lv-LV"/>
        </w:rPr>
        <w:t xml:space="preserve"> vērtības nodoklis, izņemot gadījumu, ja Finansējuma saņēmējs var pierādīt, ka pievienotās vērtības nodoklis nav iespējams atgūt no valsts budžeta</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reprezentācijas</w:t>
      </w:r>
      <w:r w:rsidRPr="00A5380B">
        <w:rPr>
          <w:rFonts w:ascii="Times New Roman" w:eastAsia="Times New Roman" w:hAnsi="Times New Roman" w:cs="Times New Roman"/>
          <w:sz w:val="24"/>
          <w:szCs w:val="24"/>
          <w:lang w:eastAsia="lv-LV"/>
        </w:rPr>
        <w:t xml:space="preserve"> izmaksas, kas attiecas tikai uz projekta darbiniekiem</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neapbūvētas</w:t>
      </w:r>
      <w:r w:rsidRPr="0044659B">
        <w:rPr>
          <w:rFonts w:ascii="Times New Roman" w:eastAsia="Times New Roman" w:hAnsi="Times New Roman" w:cs="Times New Roman"/>
          <w:sz w:val="24"/>
          <w:szCs w:val="24"/>
          <w:lang w:eastAsia="lv-LV"/>
        </w:rPr>
        <w:t xml:space="preserve"> zemes pirkumi</w:t>
      </w:r>
      <w:r>
        <w:rPr>
          <w:rFonts w:ascii="Times New Roman" w:eastAsia="Times New Roman" w:hAnsi="Times New Roman" w:cs="Times New Roman"/>
          <w:sz w:val="24"/>
          <w:szCs w:val="24"/>
          <w:lang w:eastAsia="lv-LV"/>
        </w:rPr>
        <w:t>;</w:t>
      </w:r>
    </w:p>
    <w:p w:rsidR="0096770D" w:rsidRPr="0096770D" w:rsidRDefault="0096770D" w:rsidP="0096770D">
      <w:pPr>
        <w:pStyle w:val="Sarakstarindkopa"/>
        <w:widowControl w:val="0"/>
        <w:numPr>
          <w:ilvl w:val="1"/>
          <w:numId w:val="2"/>
        </w:numPr>
        <w:tabs>
          <w:tab w:val="left" w:pos="1134"/>
        </w:tabs>
        <w:spacing w:after="0" w:line="360" w:lineRule="auto"/>
        <w:ind w:left="0" w:firstLine="567"/>
        <w:jc w:val="both"/>
        <w:outlineLvl w:val="0"/>
        <w:rPr>
          <w:rFonts w:ascii="Times New Roman" w:eastAsia="Times New Roman" w:hAnsi="Times New Roman" w:cs="Times New Roman"/>
          <w:b/>
          <w:bCs/>
          <w:sz w:val="28"/>
          <w:szCs w:val="28"/>
        </w:rPr>
      </w:pPr>
      <w:r w:rsidRPr="0096770D">
        <w:rPr>
          <w:rFonts w:ascii="Times New Roman" w:eastAsia="Times New Roman" w:hAnsi="Times New Roman" w:cs="Times New Roman"/>
          <w:bCs/>
          <w:sz w:val="24"/>
          <w:szCs w:val="24"/>
        </w:rPr>
        <w:t>apbūvētas</w:t>
      </w:r>
      <w:r w:rsidRPr="0044659B">
        <w:rPr>
          <w:rFonts w:ascii="Times New Roman" w:eastAsia="Times New Roman" w:hAnsi="Times New Roman" w:cs="Times New Roman"/>
          <w:sz w:val="24"/>
          <w:szCs w:val="24"/>
          <w:lang w:eastAsia="lv-LV"/>
        </w:rPr>
        <w:t xml:space="preserve"> zemes pirkumi, ja zeme ir nepieciešama projekta īstenošanai, par summu, kas pārsniedz 10 % no attiecīgā projekta kopējiem attiecināmajiem izdevumiem</w:t>
      </w:r>
      <w:r>
        <w:rPr>
          <w:rFonts w:ascii="Times New Roman" w:eastAsia="Times New Roman" w:hAnsi="Times New Roman" w:cs="Times New Roman"/>
          <w:sz w:val="24"/>
          <w:szCs w:val="24"/>
          <w:lang w:eastAsia="lv-LV"/>
        </w:rPr>
        <w:t>.</w:t>
      </w:r>
    </w:p>
    <w:p w:rsidR="00CF7413" w:rsidRPr="00DF18A4" w:rsidRDefault="00CF7413" w:rsidP="00C611B6">
      <w:pPr>
        <w:pStyle w:val="Sarakstarindkopa"/>
        <w:widowControl w:val="0"/>
        <w:tabs>
          <w:tab w:val="left" w:pos="426"/>
        </w:tabs>
        <w:spacing w:after="0" w:line="360" w:lineRule="auto"/>
        <w:ind w:left="0"/>
        <w:jc w:val="both"/>
        <w:rPr>
          <w:rFonts w:ascii="Times New Roman" w:hAnsi="Times New Roman" w:cs="Times New Roman"/>
          <w:sz w:val="10"/>
          <w:szCs w:val="10"/>
        </w:rPr>
      </w:pPr>
    </w:p>
    <w:p w:rsidR="00CF7413" w:rsidRPr="00A45ED5" w:rsidRDefault="00CF7413" w:rsidP="00C611B6">
      <w:pPr>
        <w:widowControl w:val="0"/>
        <w:spacing w:after="0" w:line="360" w:lineRule="auto"/>
        <w:ind w:firstLine="567"/>
        <w:jc w:val="both"/>
        <w:rPr>
          <w:rFonts w:ascii="Times New Roman" w:hAnsi="Times New Roman" w:cs="Times New Roman"/>
          <w:b/>
          <w:sz w:val="24"/>
          <w:szCs w:val="24"/>
        </w:rPr>
      </w:pPr>
      <w:r w:rsidRPr="00A45ED5">
        <w:rPr>
          <w:rFonts w:ascii="Times New Roman" w:hAnsi="Times New Roman" w:cs="Times New Roman"/>
          <w:b/>
          <w:sz w:val="24"/>
          <w:szCs w:val="24"/>
        </w:rPr>
        <w:t xml:space="preserve">Finansējuma saņēmējs drīkst iesniegt citus līdzvērtīgus attaisnojuma dokumentus, kas atbilst </w:t>
      </w:r>
      <w:r w:rsidR="003023B1" w:rsidRPr="00A45ED5">
        <w:rPr>
          <w:rFonts w:ascii="Times New Roman" w:hAnsi="Times New Roman" w:cs="Times New Roman"/>
          <w:b/>
          <w:sz w:val="24"/>
          <w:szCs w:val="24"/>
        </w:rPr>
        <w:t>grāmatvedības jomā</w:t>
      </w:r>
      <w:r w:rsidR="00E80A83" w:rsidRPr="00A45ED5">
        <w:rPr>
          <w:rFonts w:ascii="Times New Roman" w:hAnsi="Times New Roman" w:cs="Times New Roman"/>
          <w:b/>
          <w:sz w:val="24"/>
          <w:szCs w:val="24"/>
        </w:rPr>
        <w:t xml:space="preserve"> normatīvajos aktos</w:t>
      </w:r>
      <w:r w:rsidR="003023B1" w:rsidRPr="00A45ED5">
        <w:rPr>
          <w:rFonts w:ascii="Times New Roman" w:hAnsi="Times New Roman" w:cs="Times New Roman"/>
          <w:b/>
          <w:sz w:val="24"/>
          <w:szCs w:val="24"/>
        </w:rPr>
        <w:t xml:space="preserve"> </w:t>
      </w:r>
      <w:r w:rsidRPr="00A45ED5">
        <w:rPr>
          <w:rFonts w:ascii="Times New Roman" w:hAnsi="Times New Roman" w:cs="Times New Roman"/>
          <w:b/>
          <w:sz w:val="24"/>
          <w:szCs w:val="24"/>
        </w:rPr>
        <w:t xml:space="preserve">noteiktajām prasībām un kurus lieto uzņēmuma/iestādes saimniecisko darījumu apliecināšanai. </w:t>
      </w:r>
    </w:p>
    <w:p w:rsidR="00CF7413" w:rsidRPr="00DF18A4" w:rsidRDefault="00CF7413" w:rsidP="00C611B6">
      <w:pPr>
        <w:widowControl w:val="0"/>
        <w:spacing w:after="0" w:line="360" w:lineRule="auto"/>
        <w:ind w:firstLine="567"/>
        <w:jc w:val="both"/>
        <w:rPr>
          <w:rFonts w:ascii="Times New Roman" w:eastAsia="Times New Roman" w:hAnsi="Times New Roman" w:cs="Times New Roman"/>
          <w:sz w:val="10"/>
          <w:szCs w:val="10"/>
          <w:lang w:eastAsia="lv-LV"/>
        </w:rPr>
      </w:pPr>
    </w:p>
    <w:p w:rsidR="00006EBA" w:rsidRPr="00A45ED5" w:rsidRDefault="00CF7413" w:rsidP="00C611B6">
      <w:pPr>
        <w:widowControl w:val="0"/>
        <w:spacing w:after="0" w:line="360" w:lineRule="auto"/>
        <w:ind w:firstLine="567"/>
        <w:jc w:val="both"/>
        <w:rPr>
          <w:rFonts w:ascii="Times New Roman" w:hAnsi="Times New Roman" w:cs="Times New Roman"/>
          <w:b/>
          <w:sz w:val="24"/>
          <w:szCs w:val="24"/>
        </w:rPr>
      </w:pPr>
      <w:r w:rsidRPr="00A45ED5">
        <w:rPr>
          <w:rFonts w:ascii="Times New Roman" w:hAnsi="Times New Roman" w:cs="Times New Roman"/>
          <w:b/>
          <w:sz w:val="24"/>
          <w:szCs w:val="24"/>
        </w:rPr>
        <w:t xml:space="preserve">Ja izdevumu attaisnojuma dokumenti ir svešvalodā, </w:t>
      </w:r>
      <w:r w:rsidR="00C1126B" w:rsidRPr="00A45ED5">
        <w:rPr>
          <w:rFonts w:ascii="Times New Roman" w:hAnsi="Times New Roman" w:cs="Times New Roman"/>
          <w:b/>
          <w:sz w:val="24"/>
          <w:szCs w:val="24"/>
        </w:rPr>
        <w:t>F</w:t>
      </w:r>
      <w:r w:rsidRPr="00A45ED5">
        <w:rPr>
          <w:rFonts w:ascii="Times New Roman" w:hAnsi="Times New Roman" w:cs="Times New Roman"/>
          <w:b/>
          <w:sz w:val="24"/>
          <w:szCs w:val="24"/>
        </w:rPr>
        <w:t xml:space="preserve">inansējuma saņēmējam </w:t>
      </w:r>
      <w:r w:rsidR="00DF2CA7">
        <w:rPr>
          <w:rFonts w:ascii="Times New Roman" w:hAnsi="Times New Roman" w:cs="Times New Roman"/>
          <w:b/>
          <w:sz w:val="24"/>
          <w:szCs w:val="24"/>
        </w:rPr>
        <w:t xml:space="preserve">jānodrošina dokumenta tulkojums </w:t>
      </w:r>
      <w:r w:rsidR="00DA2C3D" w:rsidRPr="00A45ED5">
        <w:rPr>
          <w:rFonts w:ascii="Times New Roman" w:hAnsi="Times New Roman" w:cs="Times New Roman"/>
          <w:b/>
          <w:sz w:val="24"/>
          <w:szCs w:val="24"/>
        </w:rPr>
        <w:t>latviešu valodā</w:t>
      </w:r>
      <w:r w:rsidR="00854E7B" w:rsidRPr="00A45ED5">
        <w:rPr>
          <w:rFonts w:ascii="Times New Roman" w:hAnsi="Times New Roman" w:cs="Times New Roman"/>
          <w:b/>
          <w:sz w:val="24"/>
          <w:szCs w:val="24"/>
        </w:rPr>
        <w:t xml:space="preserve">. </w:t>
      </w:r>
    </w:p>
    <w:p w:rsidR="0002764B" w:rsidRPr="00DF18A4" w:rsidRDefault="0002764B" w:rsidP="00C611B6">
      <w:pPr>
        <w:widowControl w:val="0"/>
        <w:spacing w:after="0" w:line="360" w:lineRule="auto"/>
        <w:ind w:firstLine="567"/>
        <w:jc w:val="both"/>
        <w:rPr>
          <w:rFonts w:ascii="Times New Roman" w:hAnsi="Times New Roman" w:cs="Times New Roman"/>
          <w:b/>
          <w:sz w:val="10"/>
          <w:szCs w:val="10"/>
        </w:rPr>
      </w:pPr>
    </w:p>
    <w:p w:rsidR="00123833" w:rsidRPr="00A45ED5" w:rsidRDefault="006F5992" w:rsidP="00C611B6">
      <w:pPr>
        <w:widowControl w:val="0"/>
        <w:spacing w:after="0" w:line="360" w:lineRule="auto"/>
        <w:ind w:firstLine="567"/>
        <w:jc w:val="both"/>
        <w:rPr>
          <w:rFonts w:ascii="Times New Roman" w:hAnsi="Times New Roman" w:cs="Times New Roman"/>
          <w:b/>
          <w:sz w:val="24"/>
          <w:szCs w:val="24"/>
        </w:rPr>
      </w:pPr>
      <w:r w:rsidRPr="00A45ED5">
        <w:rPr>
          <w:rFonts w:ascii="Times New Roman" w:hAnsi="Times New Roman" w:cs="Times New Roman"/>
          <w:b/>
          <w:sz w:val="24"/>
          <w:szCs w:val="24"/>
        </w:rPr>
        <w:t xml:space="preserve">Izmaksas, kas veiktas neatbilstoši </w:t>
      </w:r>
      <w:r w:rsidR="00BE34F5" w:rsidRPr="00A45ED5">
        <w:rPr>
          <w:rFonts w:ascii="Times New Roman" w:hAnsi="Times New Roman" w:cs="Times New Roman"/>
          <w:b/>
          <w:sz w:val="24"/>
          <w:szCs w:val="24"/>
        </w:rPr>
        <w:t>G</w:t>
      </w:r>
      <w:r w:rsidRPr="00A45ED5">
        <w:rPr>
          <w:rFonts w:ascii="Times New Roman" w:hAnsi="Times New Roman" w:cs="Times New Roman"/>
          <w:b/>
          <w:sz w:val="24"/>
          <w:szCs w:val="24"/>
        </w:rPr>
        <w:t>ranta līgumam vai Eiropas Komisijas un Latvijas Republikas normatīvo aktu prasībām, tiks atzītas par neatbilstošām!</w:t>
      </w:r>
    </w:p>
    <w:p w:rsidR="00461816" w:rsidRDefault="00461816" w:rsidP="00DF18A4">
      <w:pPr>
        <w:widowControl w:val="0"/>
        <w:spacing w:after="0" w:line="360" w:lineRule="auto"/>
        <w:jc w:val="both"/>
        <w:rPr>
          <w:rFonts w:ascii="Times New Roman" w:eastAsia="Times New Roman" w:hAnsi="Times New Roman" w:cs="Times New Roman"/>
          <w:sz w:val="24"/>
          <w:szCs w:val="24"/>
          <w:lang w:eastAsia="lv-LV"/>
        </w:rPr>
      </w:pPr>
    </w:p>
    <w:p w:rsidR="00A45ED5" w:rsidRDefault="00A45ED5" w:rsidP="00DF18A4">
      <w:pPr>
        <w:widowControl w:val="0"/>
        <w:spacing w:after="0" w:line="360" w:lineRule="auto"/>
        <w:jc w:val="both"/>
        <w:rPr>
          <w:rFonts w:ascii="Times New Roman" w:hAnsi="Times New Roman" w:cs="Times New Roman"/>
          <w:b/>
          <w:sz w:val="24"/>
          <w:szCs w:val="24"/>
        </w:rPr>
      </w:pPr>
      <w:r w:rsidRPr="00854E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54E7B">
        <w:rPr>
          <w:rFonts w:ascii="Times New Roman" w:eastAsia="Times New Roman" w:hAnsi="Times New Roman" w:cs="Times New Roman"/>
          <w:sz w:val="24"/>
          <w:szCs w:val="24"/>
          <w:lang w:eastAsia="lv-LV"/>
        </w:rPr>
        <w:t>Vienreiz iesniedzamie dokumenti (atkārtoti – tikai izmaiņu gadījumā)</w:t>
      </w:r>
      <w:r>
        <w:rPr>
          <w:rFonts w:ascii="Times New Roman" w:eastAsia="Times New Roman" w:hAnsi="Times New Roman" w:cs="Times New Roman"/>
          <w:sz w:val="24"/>
          <w:szCs w:val="24"/>
          <w:lang w:eastAsia="lv-LV"/>
        </w:rPr>
        <w:t>.</w:t>
      </w:r>
      <w:r w:rsidR="00DF18A4" w:rsidRPr="00A45ED5">
        <w:rPr>
          <w:rFonts w:ascii="Times New Roman" w:hAnsi="Times New Roman" w:cs="Times New Roman"/>
          <w:b/>
          <w:sz w:val="24"/>
          <w:szCs w:val="24"/>
        </w:rPr>
        <w:t xml:space="preserve"> </w:t>
      </w:r>
    </w:p>
    <w:sectPr w:rsidR="00A45ED5" w:rsidSect="00CD04EF">
      <w:footerReference w:type="default" r:id="rId9"/>
      <w:pgSz w:w="11906" w:h="16838"/>
      <w:pgMar w:top="851" w:right="991" w:bottom="709" w:left="1134"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3A" w:rsidRDefault="00B6553A" w:rsidP="00DC2B9D">
      <w:pPr>
        <w:spacing w:after="0" w:line="240" w:lineRule="auto"/>
      </w:pPr>
      <w:r>
        <w:separator/>
      </w:r>
    </w:p>
  </w:endnote>
  <w:endnote w:type="continuationSeparator" w:id="0">
    <w:p w:rsidR="00B6553A" w:rsidRDefault="00B6553A" w:rsidP="00DC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530122"/>
      <w:docPartObj>
        <w:docPartGallery w:val="Page Numbers (Bottom of Page)"/>
        <w:docPartUnique/>
      </w:docPartObj>
    </w:sdtPr>
    <w:sdtEndPr>
      <w:rPr>
        <w:rFonts w:ascii="Times New Roman" w:hAnsi="Times New Roman" w:cs="Times New Roman"/>
        <w:noProof/>
      </w:rPr>
    </w:sdtEndPr>
    <w:sdtContent>
      <w:p w:rsidR="008209DB" w:rsidRPr="00F02120" w:rsidRDefault="00782782">
        <w:pPr>
          <w:pStyle w:val="Kjene"/>
          <w:jc w:val="center"/>
          <w:rPr>
            <w:rFonts w:ascii="Times New Roman" w:hAnsi="Times New Roman" w:cs="Times New Roman"/>
          </w:rPr>
        </w:pPr>
        <w:r w:rsidRPr="00F02120">
          <w:rPr>
            <w:rFonts w:ascii="Times New Roman" w:hAnsi="Times New Roman" w:cs="Times New Roman"/>
          </w:rPr>
          <w:fldChar w:fldCharType="begin"/>
        </w:r>
        <w:r w:rsidR="000271C4" w:rsidRPr="00F02120">
          <w:rPr>
            <w:rFonts w:ascii="Times New Roman" w:hAnsi="Times New Roman" w:cs="Times New Roman"/>
          </w:rPr>
          <w:instrText xml:space="preserve"> PAGE   \* MERGEFORMAT </w:instrText>
        </w:r>
        <w:r w:rsidRPr="00F02120">
          <w:rPr>
            <w:rFonts w:ascii="Times New Roman" w:hAnsi="Times New Roman" w:cs="Times New Roman"/>
          </w:rPr>
          <w:fldChar w:fldCharType="separate"/>
        </w:r>
        <w:r w:rsidR="006A1C53">
          <w:rPr>
            <w:rFonts w:ascii="Times New Roman" w:hAnsi="Times New Roman" w:cs="Times New Roman"/>
            <w:noProof/>
          </w:rPr>
          <w:t>9</w:t>
        </w:r>
        <w:r w:rsidRPr="00F02120">
          <w:rPr>
            <w:rFonts w:ascii="Times New Roman" w:hAnsi="Times New Roman" w:cs="Times New Roman"/>
            <w:noProof/>
          </w:rPr>
          <w:fldChar w:fldCharType="end"/>
        </w:r>
      </w:p>
    </w:sdtContent>
  </w:sdt>
  <w:p w:rsidR="008209DB" w:rsidRDefault="008209DB">
    <w:pPr>
      <w:pStyle w:val="Kjene"/>
    </w:pPr>
  </w:p>
  <w:p w:rsidR="00F02120" w:rsidRDefault="00F0212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3A" w:rsidRDefault="00B6553A" w:rsidP="00DC2B9D">
      <w:pPr>
        <w:spacing w:after="0" w:line="240" w:lineRule="auto"/>
      </w:pPr>
      <w:r>
        <w:separator/>
      </w:r>
    </w:p>
  </w:footnote>
  <w:footnote w:type="continuationSeparator" w:id="0">
    <w:p w:rsidR="00B6553A" w:rsidRDefault="00B6553A" w:rsidP="00DC2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AAD"/>
    <w:multiLevelType w:val="multilevel"/>
    <w:tmpl w:val="988A4A7A"/>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3E04C18"/>
    <w:multiLevelType w:val="multilevel"/>
    <w:tmpl w:val="F07EB9D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FEF2547"/>
    <w:multiLevelType w:val="multilevel"/>
    <w:tmpl w:val="384418F2"/>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3505320D"/>
    <w:multiLevelType w:val="multilevel"/>
    <w:tmpl w:val="D9E6EF6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1296A12"/>
    <w:multiLevelType w:val="hybridMultilevel"/>
    <w:tmpl w:val="45F06114"/>
    <w:lvl w:ilvl="0" w:tplc="4CE45A6C">
      <w:start w:val="34"/>
      <w:numFmt w:val="bullet"/>
      <w:lvlText w:val=""/>
      <w:lvlJc w:val="left"/>
      <w:pPr>
        <w:ind w:left="720" w:hanging="360"/>
      </w:pPr>
      <w:rPr>
        <w:rFonts w:ascii="Symbol" w:eastAsiaTheme="minorHAnsi"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18F30A3"/>
    <w:multiLevelType w:val="multilevel"/>
    <w:tmpl w:val="BE961526"/>
    <w:lvl w:ilvl="0">
      <w:start w:val="1"/>
      <w:numFmt w:val="decimal"/>
      <w:lvlText w:val="%1."/>
      <w:lvlJc w:val="left"/>
      <w:pPr>
        <w:ind w:left="153" w:hanging="360"/>
      </w:pPr>
      <w:rPr>
        <w:rFonts w:hint="default"/>
        <w:b/>
        <w:i w:val="0"/>
      </w:rPr>
    </w:lvl>
    <w:lvl w:ilvl="1">
      <w:start w:val="1"/>
      <w:numFmt w:val="decimal"/>
      <w:isLgl/>
      <w:lvlText w:val="%1.%2."/>
      <w:lvlJc w:val="left"/>
      <w:pPr>
        <w:ind w:left="436" w:hanging="540"/>
      </w:pPr>
      <w:rPr>
        <w:rFonts w:hint="default"/>
        <w:b w:val="0"/>
        <w:i w:val="0"/>
      </w:rPr>
    </w:lvl>
    <w:lvl w:ilvl="2">
      <w:start w:val="1"/>
      <w:numFmt w:val="decimal"/>
      <w:isLgl/>
      <w:lvlText w:val="1.%2.%3."/>
      <w:lvlJc w:val="left"/>
      <w:pPr>
        <w:ind w:left="719"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85" w:hanging="1080"/>
      </w:pPr>
      <w:rPr>
        <w:rFonts w:hint="default"/>
      </w:rPr>
    </w:lvl>
    <w:lvl w:ilvl="5">
      <w:start w:val="1"/>
      <w:numFmt w:val="decimal"/>
      <w:isLgl/>
      <w:lvlText w:val="%1.%2.%3.%4.%5.%6."/>
      <w:lvlJc w:val="left"/>
      <w:pPr>
        <w:ind w:left="1388"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417" w:hanging="1800"/>
      </w:pPr>
      <w:rPr>
        <w:rFonts w:hint="default"/>
      </w:rPr>
    </w:lvl>
  </w:abstractNum>
  <w:abstractNum w:abstractNumId="6">
    <w:nsid w:val="51F7255C"/>
    <w:multiLevelType w:val="hybridMultilevel"/>
    <w:tmpl w:val="A566E81E"/>
    <w:lvl w:ilvl="0" w:tplc="2D5CA6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3EF1D3A"/>
    <w:multiLevelType w:val="multilevel"/>
    <w:tmpl w:val="2348F1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695D6673"/>
    <w:multiLevelType w:val="multilevel"/>
    <w:tmpl w:val="A22CF428"/>
    <w:lvl w:ilvl="0">
      <w:start w:val="1"/>
      <w:numFmt w:val="upperRoman"/>
      <w:lvlText w:val="%1."/>
      <w:lvlJc w:val="right"/>
      <w:pPr>
        <w:ind w:left="153" w:hanging="360"/>
      </w:pPr>
    </w:lvl>
    <w:lvl w:ilvl="1">
      <w:start w:val="1"/>
      <w:numFmt w:val="decimal"/>
      <w:isLgl/>
      <w:lvlText w:val="%1.%2."/>
      <w:lvlJc w:val="left"/>
      <w:pPr>
        <w:ind w:left="1293" w:hanging="360"/>
      </w:pPr>
      <w:rPr>
        <w:rFonts w:hint="default"/>
        <w:b w:val="0"/>
      </w:rPr>
    </w:lvl>
    <w:lvl w:ilvl="2">
      <w:start w:val="1"/>
      <w:numFmt w:val="decimal"/>
      <w:isLgl/>
      <w:lvlText w:val="%1.%2.%3."/>
      <w:lvlJc w:val="left"/>
      <w:pPr>
        <w:ind w:left="2793" w:hanging="720"/>
      </w:pPr>
      <w:rPr>
        <w:rFonts w:hint="default"/>
        <w:b w:val="0"/>
      </w:rPr>
    </w:lvl>
    <w:lvl w:ilvl="3">
      <w:start w:val="1"/>
      <w:numFmt w:val="upperRoman"/>
      <w:isLgl/>
      <w:lvlText w:val="%1.%2.%3.%4."/>
      <w:lvlJc w:val="left"/>
      <w:pPr>
        <w:ind w:left="4293" w:hanging="1080"/>
      </w:pPr>
      <w:rPr>
        <w:rFonts w:hint="default"/>
        <w:b w:val="0"/>
      </w:rPr>
    </w:lvl>
    <w:lvl w:ilvl="4">
      <w:start w:val="1"/>
      <w:numFmt w:val="decimal"/>
      <w:isLgl/>
      <w:lvlText w:val="%1.%2.%3.%4.%5."/>
      <w:lvlJc w:val="left"/>
      <w:pPr>
        <w:ind w:left="5433" w:hanging="1080"/>
      </w:pPr>
      <w:rPr>
        <w:rFonts w:hint="default"/>
        <w:b w:val="0"/>
      </w:rPr>
    </w:lvl>
    <w:lvl w:ilvl="5">
      <w:start w:val="1"/>
      <w:numFmt w:val="decimal"/>
      <w:isLgl/>
      <w:lvlText w:val="%1.%2.%3.%4.%5.%6."/>
      <w:lvlJc w:val="left"/>
      <w:pPr>
        <w:ind w:left="6573" w:hanging="1080"/>
      </w:pPr>
      <w:rPr>
        <w:rFonts w:hint="default"/>
        <w:b w:val="0"/>
      </w:rPr>
    </w:lvl>
    <w:lvl w:ilvl="6">
      <w:start w:val="1"/>
      <w:numFmt w:val="decimal"/>
      <w:isLgl/>
      <w:lvlText w:val="%1.%2.%3.%4.%5.%6.%7."/>
      <w:lvlJc w:val="left"/>
      <w:pPr>
        <w:ind w:left="8073" w:hanging="1440"/>
      </w:pPr>
      <w:rPr>
        <w:rFonts w:hint="default"/>
        <w:b w:val="0"/>
      </w:rPr>
    </w:lvl>
    <w:lvl w:ilvl="7">
      <w:start w:val="1"/>
      <w:numFmt w:val="decimal"/>
      <w:isLgl/>
      <w:lvlText w:val="%1.%2.%3.%4.%5.%6.%7.%8."/>
      <w:lvlJc w:val="left"/>
      <w:pPr>
        <w:ind w:left="9213" w:hanging="1440"/>
      </w:pPr>
      <w:rPr>
        <w:rFonts w:hint="default"/>
        <w:b w:val="0"/>
      </w:rPr>
    </w:lvl>
    <w:lvl w:ilvl="8">
      <w:start w:val="1"/>
      <w:numFmt w:val="decimal"/>
      <w:isLgl/>
      <w:lvlText w:val="%1.%2.%3.%4.%5.%6.%7.%8.%9."/>
      <w:lvlJc w:val="left"/>
      <w:pPr>
        <w:ind w:left="10713" w:hanging="1800"/>
      </w:pPr>
      <w:rPr>
        <w:rFonts w:hint="default"/>
        <w:b w:val="0"/>
      </w:rPr>
    </w:lvl>
  </w:abstractNum>
  <w:abstractNum w:abstractNumId="9">
    <w:nsid w:val="6CD169DC"/>
    <w:multiLevelType w:val="hybridMultilevel"/>
    <w:tmpl w:val="CC0C6A8C"/>
    <w:lvl w:ilvl="0" w:tplc="B3F671DE">
      <w:start w:val="1"/>
      <w:numFmt w:val="upperRoman"/>
      <w:lvlText w:val="%1."/>
      <w:lvlJc w:val="left"/>
      <w:pPr>
        <w:ind w:left="153" w:hanging="720"/>
      </w:pPr>
      <w:rPr>
        <w:rFonts w:hint="default"/>
      </w:rPr>
    </w:lvl>
    <w:lvl w:ilvl="1" w:tplc="04260019">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0">
    <w:nsid w:val="712F59ED"/>
    <w:multiLevelType w:val="multilevel"/>
    <w:tmpl w:val="B6F8DA0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
  </w:num>
  <w:num w:numId="3">
    <w:abstractNumId w:val="7"/>
  </w:num>
  <w:num w:numId="4">
    <w:abstractNumId w:val="5"/>
  </w:num>
  <w:num w:numId="5">
    <w:abstractNumId w:val="8"/>
  </w:num>
  <w:num w:numId="6">
    <w:abstractNumId w:val="4"/>
  </w:num>
  <w:num w:numId="7">
    <w:abstractNumId w:val="10"/>
  </w:num>
  <w:num w:numId="8">
    <w:abstractNumId w:val="0"/>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80B7C"/>
    <w:rsid w:val="00006EBA"/>
    <w:rsid w:val="00015E85"/>
    <w:rsid w:val="000179AC"/>
    <w:rsid w:val="00025B92"/>
    <w:rsid w:val="000271C4"/>
    <w:rsid w:val="0002764B"/>
    <w:rsid w:val="000359B8"/>
    <w:rsid w:val="000404C6"/>
    <w:rsid w:val="000543DD"/>
    <w:rsid w:val="00057165"/>
    <w:rsid w:val="00083170"/>
    <w:rsid w:val="0008583B"/>
    <w:rsid w:val="00086FFE"/>
    <w:rsid w:val="00091ACB"/>
    <w:rsid w:val="000A136F"/>
    <w:rsid w:val="000B6CCB"/>
    <w:rsid w:val="000E3DA9"/>
    <w:rsid w:val="000E7B94"/>
    <w:rsid w:val="000F3EDC"/>
    <w:rsid w:val="001005E2"/>
    <w:rsid w:val="00110EC0"/>
    <w:rsid w:val="00113AB1"/>
    <w:rsid w:val="00120ACA"/>
    <w:rsid w:val="00123833"/>
    <w:rsid w:val="001253DB"/>
    <w:rsid w:val="001403EE"/>
    <w:rsid w:val="001409FA"/>
    <w:rsid w:val="0014669C"/>
    <w:rsid w:val="0015777E"/>
    <w:rsid w:val="00160155"/>
    <w:rsid w:val="00164EE7"/>
    <w:rsid w:val="001676AC"/>
    <w:rsid w:val="00175534"/>
    <w:rsid w:val="00181263"/>
    <w:rsid w:val="001A5222"/>
    <w:rsid w:val="001A73ED"/>
    <w:rsid w:val="001B444F"/>
    <w:rsid w:val="001C1583"/>
    <w:rsid w:val="001D1375"/>
    <w:rsid w:val="001F1B43"/>
    <w:rsid w:val="00207761"/>
    <w:rsid w:val="0021351A"/>
    <w:rsid w:val="00232500"/>
    <w:rsid w:val="002547AE"/>
    <w:rsid w:val="0026700E"/>
    <w:rsid w:val="00282AC9"/>
    <w:rsid w:val="002A480E"/>
    <w:rsid w:val="002C0081"/>
    <w:rsid w:val="002C376D"/>
    <w:rsid w:val="002C40FA"/>
    <w:rsid w:val="002C4798"/>
    <w:rsid w:val="002F0646"/>
    <w:rsid w:val="002F4910"/>
    <w:rsid w:val="003023B1"/>
    <w:rsid w:val="00304D96"/>
    <w:rsid w:val="00331FB1"/>
    <w:rsid w:val="003618D1"/>
    <w:rsid w:val="00362FB9"/>
    <w:rsid w:val="003649F4"/>
    <w:rsid w:val="00375989"/>
    <w:rsid w:val="00380DC8"/>
    <w:rsid w:val="003A7A7C"/>
    <w:rsid w:val="003B3823"/>
    <w:rsid w:val="003C4A9A"/>
    <w:rsid w:val="003D77F9"/>
    <w:rsid w:val="003E4415"/>
    <w:rsid w:val="003E7301"/>
    <w:rsid w:val="003F0087"/>
    <w:rsid w:val="003F3C64"/>
    <w:rsid w:val="0040691B"/>
    <w:rsid w:val="00412499"/>
    <w:rsid w:val="004179D2"/>
    <w:rsid w:val="00424526"/>
    <w:rsid w:val="00434C18"/>
    <w:rsid w:val="00440886"/>
    <w:rsid w:val="00457D31"/>
    <w:rsid w:val="00461816"/>
    <w:rsid w:val="00463164"/>
    <w:rsid w:val="004648B4"/>
    <w:rsid w:val="00484230"/>
    <w:rsid w:val="0048546B"/>
    <w:rsid w:val="00495C5D"/>
    <w:rsid w:val="004A20BB"/>
    <w:rsid w:val="004C659D"/>
    <w:rsid w:val="004E35BF"/>
    <w:rsid w:val="004F7D63"/>
    <w:rsid w:val="00506A03"/>
    <w:rsid w:val="00537C0A"/>
    <w:rsid w:val="00546DF4"/>
    <w:rsid w:val="00556E7D"/>
    <w:rsid w:val="00562ADE"/>
    <w:rsid w:val="00564CAE"/>
    <w:rsid w:val="00571211"/>
    <w:rsid w:val="005725B9"/>
    <w:rsid w:val="00581DAF"/>
    <w:rsid w:val="005858D2"/>
    <w:rsid w:val="005A4F9F"/>
    <w:rsid w:val="005A51E6"/>
    <w:rsid w:val="005A53EE"/>
    <w:rsid w:val="005C1BF2"/>
    <w:rsid w:val="005C544D"/>
    <w:rsid w:val="005C5DB5"/>
    <w:rsid w:val="005D7217"/>
    <w:rsid w:val="005E2A40"/>
    <w:rsid w:val="005E4AFD"/>
    <w:rsid w:val="00600932"/>
    <w:rsid w:val="00602ABE"/>
    <w:rsid w:val="00613522"/>
    <w:rsid w:val="00614494"/>
    <w:rsid w:val="006254F5"/>
    <w:rsid w:val="0064127C"/>
    <w:rsid w:val="00660E3D"/>
    <w:rsid w:val="00663818"/>
    <w:rsid w:val="00664F29"/>
    <w:rsid w:val="0066684B"/>
    <w:rsid w:val="00671E5C"/>
    <w:rsid w:val="00682D7D"/>
    <w:rsid w:val="00684000"/>
    <w:rsid w:val="006913BB"/>
    <w:rsid w:val="006947EC"/>
    <w:rsid w:val="00697315"/>
    <w:rsid w:val="006A1C53"/>
    <w:rsid w:val="006A7C32"/>
    <w:rsid w:val="006B37F4"/>
    <w:rsid w:val="006D6E8E"/>
    <w:rsid w:val="006F5992"/>
    <w:rsid w:val="006F7D98"/>
    <w:rsid w:val="00717890"/>
    <w:rsid w:val="00722AEE"/>
    <w:rsid w:val="00727E49"/>
    <w:rsid w:val="00740F1B"/>
    <w:rsid w:val="00782782"/>
    <w:rsid w:val="00790D25"/>
    <w:rsid w:val="007B4CD7"/>
    <w:rsid w:val="007B6447"/>
    <w:rsid w:val="007C350F"/>
    <w:rsid w:val="007D1C82"/>
    <w:rsid w:val="007E7416"/>
    <w:rsid w:val="007F39E2"/>
    <w:rsid w:val="008066E9"/>
    <w:rsid w:val="008209DB"/>
    <w:rsid w:val="00820CCD"/>
    <w:rsid w:val="00842AC6"/>
    <w:rsid w:val="00854E7B"/>
    <w:rsid w:val="00866505"/>
    <w:rsid w:val="008716F9"/>
    <w:rsid w:val="00877814"/>
    <w:rsid w:val="00880CD4"/>
    <w:rsid w:val="008B43C5"/>
    <w:rsid w:val="008C6FF1"/>
    <w:rsid w:val="008C71B7"/>
    <w:rsid w:val="008D07F8"/>
    <w:rsid w:val="008D1FB3"/>
    <w:rsid w:val="008D45EA"/>
    <w:rsid w:val="00900013"/>
    <w:rsid w:val="00910C41"/>
    <w:rsid w:val="0092230A"/>
    <w:rsid w:val="00930E72"/>
    <w:rsid w:val="00935AD0"/>
    <w:rsid w:val="00955DF5"/>
    <w:rsid w:val="00956B75"/>
    <w:rsid w:val="00957DF6"/>
    <w:rsid w:val="0096770D"/>
    <w:rsid w:val="0097375A"/>
    <w:rsid w:val="0098423A"/>
    <w:rsid w:val="00986502"/>
    <w:rsid w:val="009865E3"/>
    <w:rsid w:val="00993FBE"/>
    <w:rsid w:val="009A4952"/>
    <w:rsid w:val="009C4C85"/>
    <w:rsid w:val="009C7982"/>
    <w:rsid w:val="009E2A16"/>
    <w:rsid w:val="009E7C16"/>
    <w:rsid w:val="009F574D"/>
    <w:rsid w:val="00A41D56"/>
    <w:rsid w:val="00A45ED5"/>
    <w:rsid w:val="00A55A87"/>
    <w:rsid w:val="00A56F8F"/>
    <w:rsid w:val="00A90C49"/>
    <w:rsid w:val="00A922BF"/>
    <w:rsid w:val="00A951AE"/>
    <w:rsid w:val="00AB0963"/>
    <w:rsid w:val="00AB3961"/>
    <w:rsid w:val="00AC01CF"/>
    <w:rsid w:val="00AC2E1B"/>
    <w:rsid w:val="00AD230D"/>
    <w:rsid w:val="00AE4EC6"/>
    <w:rsid w:val="00AE6AB3"/>
    <w:rsid w:val="00AE75AF"/>
    <w:rsid w:val="00B07697"/>
    <w:rsid w:val="00B11C43"/>
    <w:rsid w:val="00B11CF4"/>
    <w:rsid w:val="00B14191"/>
    <w:rsid w:val="00B2572E"/>
    <w:rsid w:val="00B26587"/>
    <w:rsid w:val="00B52774"/>
    <w:rsid w:val="00B57BC6"/>
    <w:rsid w:val="00B6553A"/>
    <w:rsid w:val="00B85D46"/>
    <w:rsid w:val="00BB3CEF"/>
    <w:rsid w:val="00BD3BE3"/>
    <w:rsid w:val="00BE0074"/>
    <w:rsid w:val="00BE34F5"/>
    <w:rsid w:val="00BF3597"/>
    <w:rsid w:val="00BF7D7F"/>
    <w:rsid w:val="00C019DD"/>
    <w:rsid w:val="00C04F9F"/>
    <w:rsid w:val="00C1126B"/>
    <w:rsid w:val="00C160C2"/>
    <w:rsid w:val="00C21D6F"/>
    <w:rsid w:val="00C46088"/>
    <w:rsid w:val="00C46DDD"/>
    <w:rsid w:val="00C6011F"/>
    <w:rsid w:val="00C611B6"/>
    <w:rsid w:val="00C812BE"/>
    <w:rsid w:val="00C87B7F"/>
    <w:rsid w:val="00CA5A28"/>
    <w:rsid w:val="00CA7189"/>
    <w:rsid w:val="00CB4098"/>
    <w:rsid w:val="00CD04EF"/>
    <w:rsid w:val="00CD4A13"/>
    <w:rsid w:val="00CF7413"/>
    <w:rsid w:val="00D0035A"/>
    <w:rsid w:val="00D0452B"/>
    <w:rsid w:val="00D06043"/>
    <w:rsid w:val="00D11637"/>
    <w:rsid w:val="00D45F35"/>
    <w:rsid w:val="00D52E63"/>
    <w:rsid w:val="00D542BF"/>
    <w:rsid w:val="00D56DD4"/>
    <w:rsid w:val="00D579EC"/>
    <w:rsid w:val="00D66BA4"/>
    <w:rsid w:val="00DA2C3D"/>
    <w:rsid w:val="00DC2B9D"/>
    <w:rsid w:val="00DC7319"/>
    <w:rsid w:val="00DD765B"/>
    <w:rsid w:val="00DD77AC"/>
    <w:rsid w:val="00DF18A4"/>
    <w:rsid w:val="00DF2CA7"/>
    <w:rsid w:val="00DF5A0C"/>
    <w:rsid w:val="00DF5C9D"/>
    <w:rsid w:val="00E177FD"/>
    <w:rsid w:val="00E261AB"/>
    <w:rsid w:val="00E5707B"/>
    <w:rsid w:val="00E80A83"/>
    <w:rsid w:val="00E80B7C"/>
    <w:rsid w:val="00E921D2"/>
    <w:rsid w:val="00E93BCE"/>
    <w:rsid w:val="00EA41FC"/>
    <w:rsid w:val="00EB789F"/>
    <w:rsid w:val="00EC2BAE"/>
    <w:rsid w:val="00ED303E"/>
    <w:rsid w:val="00ED7999"/>
    <w:rsid w:val="00EE5B5D"/>
    <w:rsid w:val="00EF254F"/>
    <w:rsid w:val="00EF490F"/>
    <w:rsid w:val="00F01C2D"/>
    <w:rsid w:val="00F02120"/>
    <w:rsid w:val="00F109BB"/>
    <w:rsid w:val="00F1117B"/>
    <w:rsid w:val="00F12AC7"/>
    <w:rsid w:val="00F34A2E"/>
    <w:rsid w:val="00F40697"/>
    <w:rsid w:val="00F6393F"/>
    <w:rsid w:val="00F65D60"/>
    <w:rsid w:val="00F66503"/>
    <w:rsid w:val="00F962BE"/>
    <w:rsid w:val="00FA3442"/>
    <w:rsid w:val="00FB3403"/>
    <w:rsid w:val="00FB3EB6"/>
    <w:rsid w:val="00FD3999"/>
    <w:rsid w:val="00FE3E2F"/>
    <w:rsid w:val="00FF49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7C0A"/>
  </w:style>
  <w:style w:type="paragraph" w:styleId="Virsraksts3">
    <w:name w:val="heading 3"/>
    <w:basedOn w:val="Parastais"/>
    <w:next w:val="Parastais"/>
    <w:link w:val="Virsraksts3Rakstz"/>
    <w:uiPriority w:val="9"/>
    <w:unhideWhenUsed/>
    <w:qFormat/>
    <w:rsid w:val="00CA5A28"/>
    <w:pPr>
      <w:keepNext/>
      <w:keepLines/>
      <w:spacing w:before="40" w:after="0" w:line="480" w:lineRule="auto"/>
      <w:ind w:hanging="567"/>
      <w:jc w:val="both"/>
      <w:outlineLvl w:val="2"/>
    </w:pPr>
    <w:rPr>
      <w:rFonts w:ascii="Times New Roman" w:eastAsiaTheme="majorEastAsia" w:hAnsi="Times New Roman" w:cstheme="majorBidi"/>
      <w:color w:val="0D0D0D" w:themeColor="text1" w:themeTint="F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99"/>
    <w:qFormat/>
    <w:rsid w:val="00E80B7C"/>
    <w:pPr>
      <w:ind w:left="720"/>
      <w:contextualSpacing/>
    </w:pPr>
  </w:style>
  <w:style w:type="character" w:styleId="Komentraatsauce">
    <w:name w:val="annotation reference"/>
    <w:basedOn w:val="Noklusjumarindkopasfonts"/>
    <w:uiPriority w:val="99"/>
    <w:semiHidden/>
    <w:unhideWhenUsed/>
    <w:rsid w:val="00935AD0"/>
    <w:rPr>
      <w:sz w:val="16"/>
      <w:szCs w:val="16"/>
    </w:rPr>
  </w:style>
  <w:style w:type="paragraph" w:styleId="Komentrateksts">
    <w:name w:val="annotation text"/>
    <w:basedOn w:val="Parastais"/>
    <w:link w:val="KomentratekstsRakstz"/>
    <w:uiPriority w:val="99"/>
    <w:unhideWhenUsed/>
    <w:rsid w:val="00935AD0"/>
    <w:pPr>
      <w:spacing w:line="240" w:lineRule="auto"/>
    </w:pPr>
    <w:rPr>
      <w:sz w:val="20"/>
      <w:szCs w:val="20"/>
    </w:rPr>
  </w:style>
  <w:style w:type="character" w:customStyle="1" w:styleId="KomentratekstsRakstz">
    <w:name w:val="Komentāra teksts Rakstz."/>
    <w:basedOn w:val="Noklusjumarindkopasfonts"/>
    <w:link w:val="Komentrateksts"/>
    <w:uiPriority w:val="99"/>
    <w:rsid w:val="00935AD0"/>
    <w:rPr>
      <w:sz w:val="20"/>
      <w:szCs w:val="20"/>
    </w:rPr>
  </w:style>
  <w:style w:type="paragraph" w:styleId="Komentratma">
    <w:name w:val="annotation subject"/>
    <w:basedOn w:val="Komentrateksts"/>
    <w:next w:val="Komentrateksts"/>
    <w:link w:val="KomentratmaRakstz"/>
    <w:uiPriority w:val="99"/>
    <w:semiHidden/>
    <w:unhideWhenUsed/>
    <w:rsid w:val="00935AD0"/>
    <w:rPr>
      <w:b/>
      <w:bCs/>
    </w:rPr>
  </w:style>
  <w:style w:type="character" w:customStyle="1" w:styleId="KomentratmaRakstz">
    <w:name w:val="Komentāra tēma Rakstz."/>
    <w:basedOn w:val="KomentratekstsRakstz"/>
    <w:link w:val="Komentratma"/>
    <w:uiPriority w:val="99"/>
    <w:semiHidden/>
    <w:rsid w:val="00935AD0"/>
    <w:rPr>
      <w:b/>
      <w:bCs/>
      <w:sz w:val="20"/>
      <w:szCs w:val="20"/>
    </w:rPr>
  </w:style>
  <w:style w:type="paragraph" w:styleId="Balonteksts">
    <w:name w:val="Balloon Text"/>
    <w:basedOn w:val="Parastais"/>
    <w:link w:val="BalontekstsRakstz"/>
    <w:uiPriority w:val="99"/>
    <w:semiHidden/>
    <w:unhideWhenUsed/>
    <w:rsid w:val="00935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5AD0"/>
    <w:rPr>
      <w:rFonts w:ascii="Tahoma" w:hAnsi="Tahoma" w:cs="Tahoma"/>
      <w:sz w:val="16"/>
      <w:szCs w:val="16"/>
    </w:rPr>
  </w:style>
  <w:style w:type="character" w:customStyle="1" w:styleId="Virsraksts3Rakstz">
    <w:name w:val="Virsraksts 3 Rakstz."/>
    <w:basedOn w:val="Noklusjumarindkopasfonts"/>
    <w:link w:val="Virsraksts3"/>
    <w:uiPriority w:val="9"/>
    <w:rsid w:val="00CA5A28"/>
    <w:rPr>
      <w:rFonts w:ascii="Times New Roman" w:eastAsiaTheme="majorEastAsia" w:hAnsi="Times New Roman" w:cstheme="majorBidi"/>
      <w:color w:val="0D0D0D" w:themeColor="text1" w:themeTint="F2"/>
      <w:szCs w:val="24"/>
    </w:rPr>
  </w:style>
  <w:style w:type="numbering" w:customStyle="1" w:styleId="NoList1">
    <w:name w:val="No List1"/>
    <w:next w:val="Bezsaraksta"/>
    <w:uiPriority w:val="99"/>
    <w:semiHidden/>
    <w:unhideWhenUsed/>
    <w:rsid w:val="00CA5A28"/>
  </w:style>
  <w:style w:type="paragraph" w:styleId="Galvene">
    <w:name w:val="header"/>
    <w:basedOn w:val="Parastais"/>
    <w:link w:val="GalveneRakstz"/>
    <w:uiPriority w:val="99"/>
    <w:unhideWhenUsed/>
    <w:rsid w:val="00DC2B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2B9D"/>
  </w:style>
  <w:style w:type="paragraph" w:styleId="Kjene">
    <w:name w:val="footer"/>
    <w:basedOn w:val="Parastais"/>
    <w:link w:val="KjeneRakstz"/>
    <w:uiPriority w:val="99"/>
    <w:unhideWhenUsed/>
    <w:rsid w:val="00DC2B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2B9D"/>
  </w:style>
  <w:style w:type="paragraph" w:styleId="Prskatjums">
    <w:name w:val="Revision"/>
    <w:hidden/>
    <w:uiPriority w:val="99"/>
    <w:semiHidden/>
    <w:rsid w:val="00282AC9"/>
    <w:pPr>
      <w:spacing w:after="0" w:line="240" w:lineRule="auto"/>
    </w:pPr>
  </w:style>
  <w:style w:type="table" w:styleId="Reatabula">
    <w:name w:val="Table Grid"/>
    <w:basedOn w:val="Parastatabula"/>
    <w:uiPriority w:val="59"/>
    <w:rsid w:val="0048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773D-9900-402B-AF5B-EB92DA54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11738</Words>
  <Characters>6692</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EvijaV</cp:lastModifiedBy>
  <cp:revision>18</cp:revision>
  <cp:lastPrinted>2015-11-25T10:03:00Z</cp:lastPrinted>
  <dcterms:created xsi:type="dcterms:W3CDTF">2015-11-25T09:59:00Z</dcterms:created>
  <dcterms:modified xsi:type="dcterms:W3CDTF">2017-03-02T06:59:00Z</dcterms:modified>
</cp:coreProperties>
</file>